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B410E">
      <w:pPr>
        <w:adjustRightInd w:val="0"/>
        <w:snapToGrid w:val="0"/>
        <w:spacing w:line="600" w:lineRule="exact"/>
        <w:ind w:right="-333" w:rightChars="-104"/>
        <w:jc w:val="center"/>
        <w:rPr>
          <w:rFonts w:eastAsia="方正小标宋简体"/>
          <w:sz w:val="44"/>
          <w:szCs w:val="44"/>
        </w:rPr>
      </w:pPr>
      <w:r>
        <w:rPr>
          <w:rFonts w:eastAsia="方正小标宋简体"/>
          <w:sz w:val="44"/>
          <w:szCs w:val="44"/>
        </w:rPr>
        <w:t>广西壮族自治区粮食和物资储备局</w:t>
      </w:r>
    </w:p>
    <w:p w14:paraId="55C1D987">
      <w:pPr>
        <w:adjustRightInd w:val="0"/>
        <w:snapToGrid w:val="0"/>
        <w:spacing w:line="600" w:lineRule="exact"/>
        <w:ind w:right="-333" w:rightChars="-104"/>
        <w:jc w:val="center"/>
        <w:rPr>
          <w:rFonts w:eastAsia="黑体"/>
          <w:bCs/>
          <w:szCs w:val="32"/>
        </w:rPr>
      </w:pPr>
      <w:r>
        <w:rPr>
          <w:rFonts w:eastAsia="方正小标宋简体"/>
          <w:sz w:val="44"/>
          <w:szCs w:val="44"/>
        </w:rPr>
        <w:t>2025年部门预算公开说明</w:t>
      </w:r>
    </w:p>
    <w:p w14:paraId="18667A1D">
      <w:pPr>
        <w:adjustRightInd w:val="0"/>
        <w:snapToGrid w:val="0"/>
        <w:spacing w:line="600" w:lineRule="exact"/>
        <w:ind w:right="-333" w:rightChars="-104"/>
        <w:jc w:val="center"/>
        <w:rPr>
          <w:rFonts w:eastAsia="黑体"/>
          <w:bCs/>
          <w:szCs w:val="32"/>
        </w:rPr>
      </w:pPr>
    </w:p>
    <w:p w14:paraId="72BE7386">
      <w:pPr>
        <w:adjustRightInd w:val="0"/>
        <w:snapToGrid w:val="0"/>
        <w:spacing w:line="600" w:lineRule="exact"/>
        <w:ind w:right="-333" w:rightChars="-104"/>
        <w:jc w:val="center"/>
        <w:rPr>
          <w:rFonts w:eastAsia="黑体"/>
          <w:bCs/>
          <w:szCs w:val="32"/>
        </w:rPr>
      </w:pPr>
      <w:r>
        <w:rPr>
          <w:rFonts w:eastAsia="黑体"/>
          <w:bCs/>
          <w:szCs w:val="32"/>
        </w:rPr>
        <w:t>目  录</w:t>
      </w:r>
    </w:p>
    <w:p w14:paraId="50A4380D">
      <w:pPr>
        <w:adjustRightInd w:val="0"/>
        <w:snapToGrid w:val="0"/>
        <w:spacing w:line="600" w:lineRule="exact"/>
        <w:ind w:right="-333" w:rightChars="-104" w:firstLine="640" w:firstLineChars="200"/>
        <w:rPr>
          <w:rFonts w:eastAsia="黑体"/>
          <w:bCs/>
          <w:szCs w:val="32"/>
        </w:rPr>
      </w:pPr>
    </w:p>
    <w:p w14:paraId="09B08397">
      <w:pPr>
        <w:adjustRightInd w:val="0"/>
        <w:snapToGrid w:val="0"/>
        <w:spacing w:line="600" w:lineRule="exact"/>
        <w:ind w:right="-333" w:rightChars="-104" w:firstLine="640" w:firstLineChars="200"/>
        <w:rPr>
          <w:rFonts w:eastAsia="黑体"/>
          <w:bCs/>
          <w:szCs w:val="32"/>
        </w:rPr>
      </w:pPr>
      <w:r>
        <w:rPr>
          <w:rFonts w:eastAsia="黑体"/>
          <w:bCs/>
          <w:szCs w:val="32"/>
        </w:rPr>
        <w:t>第一部分：</w:t>
      </w:r>
      <w:r>
        <w:rPr>
          <w:rFonts w:eastAsia="黑体"/>
          <w:szCs w:val="32"/>
        </w:rPr>
        <w:t>自治区粮食和物资储备局</w:t>
      </w:r>
      <w:r>
        <w:rPr>
          <w:rFonts w:eastAsia="黑体"/>
          <w:bCs/>
          <w:szCs w:val="32"/>
        </w:rPr>
        <w:t>概况</w:t>
      </w:r>
    </w:p>
    <w:p w14:paraId="328E0614">
      <w:pPr>
        <w:autoSpaceDE w:val="0"/>
        <w:autoSpaceDN w:val="0"/>
        <w:adjustRightInd w:val="0"/>
        <w:spacing w:line="590" w:lineRule="exact"/>
        <w:ind w:firstLine="640" w:firstLineChars="200"/>
        <w:rPr>
          <w:szCs w:val="32"/>
        </w:rPr>
      </w:pPr>
      <w:r>
        <w:rPr>
          <w:szCs w:val="32"/>
        </w:rPr>
        <w:t>一、主要职责</w:t>
      </w:r>
    </w:p>
    <w:p w14:paraId="04B83B62">
      <w:pPr>
        <w:autoSpaceDE w:val="0"/>
        <w:autoSpaceDN w:val="0"/>
        <w:adjustRightInd w:val="0"/>
        <w:spacing w:line="590" w:lineRule="exact"/>
        <w:ind w:firstLine="640" w:firstLineChars="200"/>
        <w:rPr>
          <w:rFonts w:eastAsia="黑体"/>
          <w:bCs/>
          <w:szCs w:val="32"/>
        </w:rPr>
      </w:pPr>
      <w:r>
        <w:rPr>
          <w:szCs w:val="32"/>
        </w:rPr>
        <w:t>二、机构设置情况</w:t>
      </w:r>
    </w:p>
    <w:p w14:paraId="5AC06FB6">
      <w:pPr>
        <w:adjustRightInd w:val="0"/>
        <w:snapToGrid w:val="0"/>
        <w:spacing w:line="600" w:lineRule="exact"/>
        <w:ind w:right="-333" w:rightChars="-104" w:firstLine="640" w:firstLineChars="200"/>
        <w:rPr>
          <w:rFonts w:eastAsia="黑体"/>
          <w:bCs/>
          <w:szCs w:val="32"/>
        </w:rPr>
      </w:pPr>
      <w:r>
        <w:rPr>
          <w:rFonts w:eastAsia="黑体"/>
          <w:szCs w:val="32"/>
        </w:rPr>
        <w:t>第二部分：自治区粮食和物资储备局2025年部门预算情况说明</w:t>
      </w:r>
    </w:p>
    <w:p w14:paraId="592E7D0C">
      <w:pPr>
        <w:autoSpaceDE w:val="0"/>
        <w:autoSpaceDN w:val="0"/>
        <w:adjustRightInd w:val="0"/>
        <w:spacing w:line="590" w:lineRule="exact"/>
        <w:ind w:firstLine="640" w:firstLineChars="200"/>
        <w:rPr>
          <w:szCs w:val="32"/>
        </w:rPr>
      </w:pPr>
      <w:r>
        <w:rPr>
          <w:szCs w:val="32"/>
        </w:rPr>
        <w:t>一、部门收支增减变化情况说明</w:t>
      </w:r>
    </w:p>
    <w:p w14:paraId="56C0F96C">
      <w:pPr>
        <w:autoSpaceDE w:val="0"/>
        <w:autoSpaceDN w:val="0"/>
        <w:adjustRightInd w:val="0"/>
        <w:spacing w:line="590" w:lineRule="exact"/>
        <w:ind w:firstLine="640" w:firstLineChars="200"/>
        <w:rPr>
          <w:szCs w:val="32"/>
        </w:rPr>
      </w:pPr>
      <w:r>
        <w:rPr>
          <w:szCs w:val="32"/>
        </w:rPr>
        <w:t>二、部门收入总体情况说明</w:t>
      </w:r>
    </w:p>
    <w:p w14:paraId="1ACC616A">
      <w:pPr>
        <w:autoSpaceDE w:val="0"/>
        <w:autoSpaceDN w:val="0"/>
        <w:adjustRightInd w:val="0"/>
        <w:spacing w:line="590" w:lineRule="exact"/>
        <w:ind w:firstLine="640" w:firstLineChars="200"/>
        <w:rPr>
          <w:szCs w:val="32"/>
        </w:rPr>
      </w:pPr>
      <w:r>
        <w:rPr>
          <w:szCs w:val="32"/>
        </w:rPr>
        <w:t>三、部门支出总体情况说明</w:t>
      </w:r>
    </w:p>
    <w:p w14:paraId="3274FED8">
      <w:pPr>
        <w:autoSpaceDE w:val="0"/>
        <w:autoSpaceDN w:val="0"/>
        <w:adjustRightInd w:val="0"/>
        <w:spacing w:line="590" w:lineRule="exact"/>
        <w:ind w:firstLine="640" w:firstLineChars="200"/>
        <w:rPr>
          <w:szCs w:val="32"/>
        </w:rPr>
      </w:pPr>
      <w:r>
        <w:rPr>
          <w:szCs w:val="32"/>
        </w:rPr>
        <w:t>四、政府性基金预算支出情况说明</w:t>
      </w:r>
    </w:p>
    <w:p w14:paraId="74123B52">
      <w:pPr>
        <w:tabs>
          <w:tab w:val="center" w:pos="4475"/>
        </w:tabs>
        <w:spacing w:line="600" w:lineRule="exact"/>
        <w:ind w:firstLine="645"/>
        <w:rPr>
          <w:szCs w:val="32"/>
        </w:rPr>
      </w:pPr>
      <w:r>
        <w:rPr>
          <w:szCs w:val="32"/>
        </w:rPr>
        <w:t>五、国有资本经营预算支出情况说明</w:t>
      </w:r>
    </w:p>
    <w:p w14:paraId="0DED28A9">
      <w:pPr>
        <w:autoSpaceDE w:val="0"/>
        <w:autoSpaceDN w:val="0"/>
        <w:adjustRightInd w:val="0"/>
        <w:spacing w:line="590" w:lineRule="exact"/>
        <w:ind w:firstLine="640" w:firstLineChars="200"/>
        <w:rPr>
          <w:szCs w:val="32"/>
        </w:rPr>
      </w:pPr>
      <w:r>
        <w:rPr>
          <w:szCs w:val="32"/>
        </w:rPr>
        <w:t>六、一般公共预算“三公”经费支出情况说明</w:t>
      </w:r>
    </w:p>
    <w:p w14:paraId="3356577D">
      <w:pPr>
        <w:autoSpaceDE w:val="0"/>
        <w:autoSpaceDN w:val="0"/>
        <w:adjustRightInd w:val="0"/>
        <w:spacing w:line="590" w:lineRule="exact"/>
        <w:ind w:firstLine="640" w:firstLineChars="200"/>
        <w:rPr>
          <w:szCs w:val="32"/>
        </w:rPr>
      </w:pPr>
      <w:r>
        <w:rPr>
          <w:szCs w:val="32"/>
        </w:rPr>
        <w:t>七、机关</w:t>
      </w:r>
      <w:r>
        <w:rPr>
          <w:rFonts w:hint="eastAsia"/>
          <w:szCs w:val="32"/>
          <w:lang w:eastAsia="zh-CN"/>
        </w:rPr>
        <w:t>事业</w:t>
      </w:r>
      <w:r>
        <w:rPr>
          <w:szCs w:val="32"/>
        </w:rPr>
        <w:t>运行经费安排情况说明</w:t>
      </w:r>
    </w:p>
    <w:p w14:paraId="00A5B01F">
      <w:pPr>
        <w:autoSpaceDE w:val="0"/>
        <w:autoSpaceDN w:val="0"/>
        <w:adjustRightInd w:val="0"/>
        <w:spacing w:line="590" w:lineRule="exact"/>
        <w:ind w:firstLine="640" w:firstLineChars="200"/>
        <w:rPr>
          <w:szCs w:val="32"/>
        </w:rPr>
      </w:pPr>
      <w:r>
        <w:rPr>
          <w:szCs w:val="32"/>
        </w:rPr>
        <w:t>八、政府采购预算安排情况说明</w:t>
      </w:r>
    </w:p>
    <w:p w14:paraId="540E3D2A">
      <w:pPr>
        <w:autoSpaceDE w:val="0"/>
        <w:autoSpaceDN w:val="0"/>
        <w:adjustRightInd w:val="0"/>
        <w:spacing w:line="590" w:lineRule="exact"/>
        <w:ind w:firstLine="640" w:firstLineChars="200"/>
        <w:rPr>
          <w:szCs w:val="32"/>
        </w:rPr>
      </w:pPr>
      <w:r>
        <w:rPr>
          <w:szCs w:val="32"/>
        </w:rPr>
        <w:t>九、国有资产占用情况说明</w:t>
      </w:r>
    </w:p>
    <w:p w14:paraId="776FE64F">
      <w:pPr>
        <w:autoSpaceDE w:val="0"/>
        <w:autoSpaceDN w:val="0"/>
        <w:adjustRightInd w:val="0"/>
        <w:spacing w:line="590" w:lineRule="exact"/>
        <w:ind w:firstLine="640" w:firstLineChars="200"/>
        <w:rPr>
          <w:szCs w:val="32"/>
        </w:rPr>
      </w:pPr>
      <w:r>
        <w:rPr>
          <w:szCs w:val="32"/>
        </w:rPr>
        <w:t>十、预算绩效目标情况说明</w:t>
      </w:r>
    </w:p>
    <w:p w14:paraId="4240A036">
      <w:pPr>
        <w:adjustRightInd w:val="0"/>
        <w:snapToGrid w:val="0"/>
        <w:spacing w:line="600" w:lineRule="exact"/>
        <w:ind w:right="-333" w:rightChars="-104" w:firstLine="640" w:firstLineChars="200"/>
        <w:rPr>
          <w:rFonts w:eastAsia="黑体"/>
          <w:bCs/>
          <w:szCs w:val="32"/>
        </w:rPr>
      </w:pPr>
      <w:r>
        <w:rPr>
          <w:rFonts w:eastAsia="黑体"/>
          <w:szCs w:val="32"/>
        </w:rPr>
        <w:t>第三部分：名词解释</w:t>
      </w:r>
    </w:p>
    <w:p w14:paraId="3E65D344">
      <w:pPr>
        <w:adjustRightInd w:val="0"/>
        <w:snapToGrid w:val="0"/>
        <w:spacing w:line="600" w:lineRule="exact"/>
        <w:ind w:right="-333" w:rightChars="-104" w:firstLine="640" w:firstLineChars="200"/>
        <w:rPr>
          <w:rFonts w:eastAsia="黑体"/>
          <w:bCs/>
          <w:szCs w:val="32"/>
        </w:rPr>
      </w:pPr>
      <w:r>
        <w:rPr>
          <w:rFonts w:eastAsia="黑体"/>
          <w:bCs/>
          <w:szCs w:val="32"/>
        </w:rPr>
        <w:t>第四部分：</w:t>
      </w:r>
      <w:r>
        <w:rPr>
          <w:rFonts w:eastAsia="黑体"/>
          <w:szCs w:val="32"/>
        </w:rPr>
        <w:t>自治区粮食和物资储备局202</w:t>
      </w:r>
      <w:r>
        <w:rPr>
          <w:rFonts w:hint="eastAsia" w:eastAsia="黑体"/>
          <w:szCs w:val="32"/>
        </w:rPr>
        <w:t>5</w:t>
      </w:r>
      <w:r>
        <w:rPr>
          <w:rFonts w:eastAsia="黑体"/>
          <w:szCs w:val="32"/>
        </w:rPr>
        <w:t>年部门预算报表</w:t>
      </w:r>
    </w:p>
    <w:p w14:paraId="385DF9B4">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一、部门收支总体情况表（预算公开01表）</w:t>
      </w:r>
    </w:p>
    <w:p w14:paraId="65C3261A">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二、部门收入总体情况表（预算公开02表）</w:t>
      </w:r>
    </w:p>
    <w:p w14:paraId="15503A9E">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三、部门支出总体情况表（预算公开03表）</w:t>
      </w:r>
    </w:p>
    <w:p w14:paraId="3747A20F">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四、财政拨款收支总体情况表（预算公开04表）</w:t>
      </w:r>
    </w:p>
    <w:p w14:paraId="0B6CBCE6">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五、一般公共预算支出情况表（预算公开05表）</w:t>
      </w:r>
    </w:p>
    <w:p w14:paraId="003C046B">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六、一般公共预算基本支出情况表（预算公开06表）</w:t>
      </w:r>
    </w:p>
    <w:p w14:paraId="4941A81A">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七、 财政拨款“三公”经费、会议费和培训费支出情况表（预算公开07表）</w:t>
      </w:r>
    </w:p>
    <w:p w14:paraId="706D076C">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八、政府性基金预算支出情况表（预算公开08表）</w:t>
      </w:r>
    </w:p>
    <w:p w14:paraId="15A1426F">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九、国有资本经营预算支出情况表（预算公开09表）</w:t>
      </w:r>
    </w:p>
    <w:p w14:paraId="26CAEDF5">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十、自治区本级项目绩效目标公开表（预算公开10表）</w:t>
      </w:r>
    </w:p>
    <w:p w14:paraId="312B4813">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十一、对下转移支付项目绩效目标公开表（预算公开11表）</w:t>
      </w:r>
    </w:p>
    <w:p w14:paraId="4CD506FE">
      <w:pPr>
        <w:adjustRightInd w:val="0"/>
        <w:snapToGrid w:val="0"/>
        <w:spacing w:line="600" w:lineRule="exact"/>
        <w:ind w:right="-333" w:rightChars="-104" w:firstLine="640" w:firstLineChars="200"/>
        <w:rPr>
          <w:rFonts w:eastAsia="黑体"/>
          <w:bCs/>
          <w:szCs w:val="32"/>
        </w:rPr>
      </w:pPr>
    </w:p>
    <w:p w14:paraId="2FE515DF">
      <w:pPr>
        <w:adjustRightInd w:val="0"/>
        <w:snapToGrid w:val="0"/>
        <w:spacing w:line="600" w:lineRule="exact"/>
        <w:ind w:right="-333" w:rightChars="-104" w:firstLine="640" w:firstLineChars="200"/>
        <w:rPr>
          <w:rFonts w:eastAsia="黑体"/>
          <w:bCs/>
          <w:szCs w:val="32"/>
        </w:rPr>
      </w:pPr>
    </w:p>
    <w:p w14:paraId="518344B2">
      <w:pPr>
        <w:adjustRightInd w:val="0"/>
        <w:snapToGrid w:val="0"/>
        <w:spacing w:line="600" w:lineRule="exact"/>
        <w:ind w:right="-333" w:rightChars="-104" w:firstLine="640" w:firstLineChars="200"/>
        <w:rPr>
          <w:rFonts w:eastAsia="黑体"/>
          <w:bCs/>
          <w:szCs w:val="32"/>
        </w:rPr>
      </w:pPr>
    </w:p>
    <w:p w14:paraId="4D91E092">
      <w:pPr>
        <w:adjustRightInd w:val="0"/>
        <w:snapToGrid w:val="0"/>
        <w:spacing w:line="600" w:lineRule="exact"/>
        <w:ind w:right="-333" w:rightChars="-104" w:firstLine="640" w:firstLineChars="200"/>
        <w:rPr>
          <w:rFonts w:eastAsia="黑体"/>
          <w:bCs/>
          <w:szCs w:val="32"/>
        </w:rPr>
      </w:pPr>
    </w:p>
    <w:p w14:paraId="6D9E689E">
      <w:pPr>
        <w:adjustRightInd w:val="0"/>
        <w:snapToGrid w:val="0"/>
        <w:spacing w:line="600" w:lineRule="exact"/>
        <w:ind w:right="-333" w:rightChars="-104" w:firstLine="640" w:firstLineChars="200"/>
        <w:rPr>
          <w:rFonts w:eastAsia="黑体"/>
          <w:bCs/>
          <w:szCs w:val="32"/>
        </w:rPr>
      </w:pPr>
    </w:p>
    <w:p w14:paraId="0EEB33B8">
      <w:pPr>
        <w:adjustRightInd w:val="0"/>
        <w:snapToGrid w:val="0"/>
        <w:spacing w:line="600" w:lineRule="exact"/>
        <w:ind w:right="-333" w:rightChars="-104" w:firstLine="640" w:firstLineChars="200"/>
        <w:rPr>
          <w:rFonts w:eastAsia="黑体"/>
          <w:bCs/>
          <w:szCs w:val="32"/>
        </w:rPr>
      </w:pPr>
    </w:p>
    <w:p w14:paraId="63A8C8C7">
      <w:pPr>
        <w:adjustRightInd w:val="0"/>
        <w:snapToGrid w:val="0"/>
        <w:spacing w:line="600" w:lineRule="exact"/>
        <w:ind w:right="-333" w:rightChars="-104" w:firstLine="640" w:firstLineChars="200"/>
        <w:rPr>
          <w:rFonts w:eastAsia="黑体"/>
          <w:bCs/>
          <w:szCs w:val="32"/>
        </w:rPr>
      </w:pPr>
    </w:p>
    <w:p w14:paraId="1170B25D">
      <w:pPr>
        <w:adjustRightInd w:val="0"/>
        <w:snapToGrid w:val="0"/>
        <w:spacing w:line="600" w:lineRule="exact"/>
        <w:ind w:right="-333" w:rightChars="-104" w:firstLine="640" w:firstLineChars="200"/>
        <w:rPr>
          <w:rFonts w:eastAsia="黑体"/>
          <w:bCs/>
          <w:szCs w:val="32"/>
        </w:rPr>
      </w:pPr>
    </w:p>
    <w:p w14:paraId="64EAF9E3">
      <w:pPr>
        <w:adjustRightInd w:val="0"/>
        <w:snapToGrid w:val="0"/>
        <w:spacing w:line="600" w:lineRule="exact"/>
        <w:ind w:right="-333" w:rightChars="-104" w:firstLine="640" w:firstLineChars="200"/>
        <w:rPr>
          <w:rFonts w:eastAsia="黑体"/>
          <w:bCs/>
          <w:szCs w:val="32"/>
        </w:rPr>
      </w:pPr>
    </w:p>
    <w:p w14:paraId="106850EC">
      <w:pPr>
        <w:adjustRightInd w:val="0"/>
        <w:snapToGrid w:val="0"/>
        <w:spacing w:line="600" w:lineRule="exact"/>
        <w:ind w:right="-333" w:rightChars="-104" w:firstLine="640" w:firstLineChars="200"/>
        <w:rPr>
          <w:rFonts w:eastAsia="黑体"/>
          <w:bCs/>
          <w:szCs w:val="32"/>
        </w:rPr>
      </w:pPr>
    </w:p>
    <w:p w14:paraId="59E33487">
      <w:pPr>
        <w:adjustRightInd w:val="0"/>
        <w:snapToGrid w:val="0"/>
        <w:spacing w:line="600" w:lineRule="exact"/>
        <w:ind w:right="-333" w:rightChars="-104" w:firstLine="640" w:firstLineChars="200"/>
        <w:rPr>
          <w:rFonts w:eastAsia="黑体"/>
          <w:bCs/>
          <w:szCs w:val="32"/>
        </w:rPr>
      </w:pPr>
    </w:p>
    <w:p w14:paraId="0B37F354">
      <w:pPr>
        <w:adjustRightInd w:val="0"/>
        <w:snapToGrid w:val="0"/>
        <w:spacing w:line="600" w:lineRule="exact"/>
        <w:ind w:right="-333" w:rightChars="-104" w:firstLine="640" w:firstLineChars="200"/>
        <w:rPr>
          <w:rFonts w:eastAsia="黑体"/>
          <w:bCs/>
          <w:szCs w:val="32"/>
        </w:rPr>
      </w:pPr>
    </w:p>
    <w:p w14:paraId="662B7751">
      <w:pPr>
        <w:adjustRightInd w:val="0"/>
        <w:snapToGrid w:val="0"/>
        <w:spacing w:line="600" w:lineRule="exact"/>
        <w:ind w:right="-333" w:rightChars="-104" w:firstLine="640" w:firstLineChars="200"/>
        <w:rPr>
          <w:rFonts w:eastAsia="黑体"/>
          <w:bCs/>
          <w:szCs w:val="32"/>
        </w:rPr>
      </w:pPr>
    </w:p>
    <w:p w14:paraId="5B522C03">
      <w:pPr>
        <w:adjustRightInd w:val="0"/>
        <w:snapToGrid w:val="0"/>
        <w:spacing w:line="600" w:lineRule="exact"/>
        <w:ind w:right="-333" w:rightChars="-104"/>
        <w:jc w:val="center"/>
        <w:rPr>
          <w:rFonts w:eastAsia="黑体"/>
          <w:bCs/>
          <w:sz w:val="36"/>
          <w:szCs w:val="36"/>
        </w:rPr>
      </w:pPr>
      <w:r>
        <w:rPr>
          <w:rFonts w:eastAsia="黑体"/>
          <w:bCs/>
          <w:sz w:val="36"/>
          <w:szCs w:val="36"/>
        </w:rPr>
        <w:t>第一部分：</w:t>
      </w:r>
      <w:r>
        <w:rPr>
          <w:rFonts w:eastAsia="黑体"/>
          <w:sz w:val="36"/>
          <w:szCs w:val="36"/>
        </w:rPr>
        <w:t>自治区粮食和物资储备局</w:t>
      </w:r>
      <w:r>
        <w:rPr>
          <w:rFonts w:eastAsia="黑体"/>
          <w:bCs/>
          <w:sz w:val="36"/>
          <w:szCs w:val="36"/>
        </w:rPr>
        <w:t>概况</w:t>
      </w:r>
    </w:p>
    <w:p w14:paraId="7D1F6343">
      <w:pPr>
        <w:adjustRightInd w:val="0"/>
        <w:snapToGrid w:val="0"/>
        <w:spacing w:line="600" w:lineRule="exact"/>
        <w:ind w:right="-333" w:rightChars="-104" w:firstLine="640" w:firstLineChars="200"/>
        <w:rPr>
          <w:rFonts w:eastAsia="黑体"/>
          <w:bCs/>
          <w:szCs w:val="32"/>
        </w:rPr>
      </w:pPr>
    </w:p>
    <w:p w14:paraId="29CE547D">
      <w:pPr>
        <w:adjustRightInd w:val="0"/>
        <w:snapToGrid w:val="0"/>
        <w:spacing w:line="600" w:lineRule="exact"/>
        <w:ind w:right="-333" w:rightChars="-104" w:firstLine="640" w:firstLineChars="200"/>
        <w:rPr>
          <w:rFonts w:eastAsia="黑体"/>
          <w:szCs w:val="32"/>
        </w:rPr>
      </w:pPr>
      <w:r>
        <w:rPr>
          <w:rFonts w:eastAsia="黑体"/>
          <w:bCs/>
          <w:szCs w:val="32"/>
        </w:rPr>
        <w:t>一</w:t>
      </w:r>
      <w:r>
        <w:rPr>
          <w:rFonts w:eastAsia="黑体"/>
          <w:szCs w:val="32"/>
        </w:rPr>
        <w:t>、主要职责</w:t>
      </w:r>
    </w:p>
    <w:p w14:paraId="3074FE82">
      <w:pPr>
        <w:autoSpaceDE w:val="0"/>
        <w:autoSpaceDN w:val="0"/>
        <w:adjustRightInd w:val="0"/>
        <w:spacing w:line="590" w:lineRule="exact"/>
        <w:ind w:firstLine="640" w:firstLineChars="200"/>
        <w:rPr>
          <w:kern w:val="0"/>
          <w:szCs w:val="32"/>
        </w:rPr>
      </w:pPr>
      <w:r>
        <w:rPr>
          <w:kern w:val="0"/>
          <w:szCs w:val="32"/>
        </w:rPr>
        <w:t>（一）负责起草全区粮食流通和物资储备管理的地方性法规、规章草案和规范性文件。研究提出全区粮食流通和物资储备体制改革方案并组织实施。</w:t>
      </w:r>
    </w:p>
    <w:p w14:paraId="7E1DF082">
      <w:pPr>
        <w:autoSpaceDE w:val="0"/>
        <w:autoSpaceDN w:val="0"/>
        <w:adjustRightInd w:val="0"/>
        <w:spacing w:line="590" w:lineRule="exact"/>
        <w:ind w:firstLine="640" w:firstLineChars="200"/>
        <w:rPr>
          <w:kern w:val="0"/>
          <w:szCs w:val="32"/>
        </w:rPr>
      </w:pPr>
      <w:r>
        <w:rPr>
          <w:kern w:val="0"/>
          <w:szCs w:val="32"/>
        </w:rPr>
        <w:t>（二）研究提出全区国家战略物资储备规划、自治区储备品种目录的建议。根据自治区储备总体发展规划和品种目录，组织实施全区战略和应急储备物资的收储、轮换、日常管理和紧急调运的协调工作，落实有关动用计划和指令。</w:t>
      </w:r>
    </w:p>
    <w:p w14:paraId="17BDD20D">
      <w:pPr>
        <w:autoSpaceDE w:val="0"/>
        <w:autoSpaceDN w:val="0"/>
        <w:adjustRightInd w:val="0"/>
        <w:spacing w:line="590" w:lineRule="exact"/>
        <w:ind w:firstLine="640" w:firstLineChars="200"/>
        <w:rPr>
          <w:kern w:val="0"/>
          <w:szCs w:val="32"/>
        </w:rPr>
      </w:pPr>
      <w:r>
        <w:rPr>
          <w:kern w:val="0"/>
          <w:szCs w:val="32"/>
        </w:rPr>
        <w:t>（三）管理自治区粮食、食糖和棉花储备，负责自治区储备粮棉行政管理。监测全区粮食和战略物资供求变化并预测预警，承担全区粮食流通宏观调控的具体工作，指导、协调全区粮食产业发展。承担粮食安全行政首长责任制考核相关工作。</w:t>
      </w:r>
    </w:p>
    <w:p w14:paraId="439EAD68">
      <w:pPr>
        <w:autoSpaceDE w:val="0"/>
        <w:autoSpaceDN w:val="0"/>
        <w:adjustRightInd w:val="0"/>
        <w:spacing w:line="590" w:lineRule="exact"/>
        <w:ind w:firstLine="640" w:firstLineChars="200"/>
        <w:rPr>
          <w:kern w:val="0"/>
          <w:szCs w:val="32"/>
        </w:rPr>
      </w:pPr>
      <w:r>
        <w:rPr>
          <w:kern w:val="0"/>
          <w:szCs w:val="32"/>
        </w:rPr>
        <w:t>（四）拟订自治区粮食和物资储备仓储管理有关技术标准和规范并组织实施。负责全区粮食流通、加工行业安全生产工作的监督管理，承担全区物资储备承储单位安全生产的监管责任。</w:t>
      </w:r>
    </w:p>
    <w:p w14:paraId="7E010185">
      <w:pPr>
        <w:autoSpaceDE w:val="0"/>
        <w:autoSpaceDN w:val="0"/>
        <w:adjustRightInd w:val="0"/>
        <w:spacing w:line="590" w:lineRule="exact"/>
        <w:ind w:firstLine="640" w:firstLineChars="200"/>
        <w:rPr>
          <w:kern w:val="0"/>
          <w:szCs w:val="32"/>
        </w:rPr>
      </w:pPr>
      <w:r>
        <w:rPr>
          <w:kern w:val="0"/>
          <w:szCs w:val="32"/>
        </w:rPr>
        <w:t>（五）根据自治区储备总体发展规划，统一负责全区储备基础设施建设和管理。拟订全区储备基础设施、粮食流通设施建设规划并组织实施，管理有关储备基础设施和粮食流通设施自治区投资项目。</w:t>
      </w:r>
    </w:p>
    <w:p w14:paraId="58662F89">
      <w:pPr>
        <w:autoSpaceDE w:val="0"/>
        <w:autoSpaceDN w:val="0"/>
        <w:adjustRightInd w:val="0"/>
        <w:spacing w:line="590" w:lineRule="exact"/>
        <w:ind w:firstLine="640" w:firstLineChars="200"/>
        <w:rPr>
          <w:kern w:val="0"/>
          <w:szCs w:val="32"/>
        </w:rPr>
      </w:pPr>
      <w:r>
        <w:rPr>
          <w:kern w:val="0"/>
          <w:szCs w:val="32"/>
        </w:rPr>
        <w:t>（六）负责对管理的政府储备、企业储备以及储备政策落实情况进行监督检查。负责粮食流通监督检查，负责粮食收购、储存、运输环节粮食质量安全和原粮卫生的监督管理，组织实施全区粮食库存检查工作。</w:t>
      </w:r>
    </w:p>
    <w:p w14:paraId="7FA936CF">
      <w:pPr>
        <w:autoSpaceDE w:val="0"/>
        <w:autoSpaceDN w:val="0"/>
        <w:adjustRightInd w:val="0"/>
        <w:spacing w:line="590" w:lineRule="exact"/>
        <w:ind w:firstLine="640" w:firstLineChars="200"/>
        <w:rPr>
          <w:kern w:val="0"/>
          <w:szCs w:val="32"/>
        </w:rPr>
      </w:pPr>
      <w:r>
        <w:rPr>
          <w:kern w:val="0"/>
          <w:szCs w:val="32"/>
        </w:rPr>
        <w:t>（七）负责粮食流通行业管理，保障军粮供应，制定行业发展规划、政策，会同有关部门制定全区粮食产业发展规划并组织实施。拟订粮食流通和物资储备有关标准、粮食质量标准，制定有关技术规范并监督执行。负责粮食和物资储备的行业教育培训和对外合作与交流。</w:t>
      </w:r>
    </w:p>
    <w:p w14:paraId="3B54A42E">
      <w:pPr>
        <w:autoSpaceDE w:val="0"/>
        <w:autoSpaceDN w:val="0"/>
        <w:adjustRightInd w:val="0"/>
        <w:spacing w:line="590" w:lineRule="exact"/>
        <w:ind w:firstLine="640" w:firstLineChars="200"/>
        <w:rPr>
          <w:kern w:val="0"/>
          <w:szCs w:val="32"/>
        </w:rPr>
      </w:pPr>
      <w:r>
        <w:rPr>
          <w:kern w:val="0"/>
          <w:szCs w:val="32"/>
        </w:rPr>
        <w:t>（八）完成自治区党委、政府交办的其他任务。</w:t>
      </w:r>
    </w:p>
    <w:p w14:paraId="3E78642E">
      <w:pPr>
        <w:autoSpaceDE w:val="0"/>
        <w:autoSpaceDN w:val="0"/>
        <w:adjustRightInd w:val="0"/>
        <w:spacing w:line="590" w:lineRule="exact"/>
        <w:ind w:firstLine="640" w:firstLineChars="200"/>
        <w:rPr>
          <w:kern w:val="0"/>
          <w:szCs w:val="32"/>
        </w:rPr>
      </w:pPr>
      <w:r>
        <w:rPr>
          <w:kern w:val="0"/>
          <w:szCs w:val="32"/>
        </w:rPr>
        <w:t>（九）职能转变：</w:t>
      </w:r>
    </w:p>
    <w:p w14:paraId="1EE3F8C3">
      <w:pPr>
        <w:autoSpaceDE w:val="0"/>
        <w:autoSpaceDN w:val="0"/>
        <w:adjustRightInd w:val="0"/>
        <w:spacing w:line="590" w:lineRule="exact"/>
        <w:ind w:firstLine="640" w:firstLineChars="200"/>
        <w:rPr>
          <w:kern w:val="0"/>
          <w:szCs w:val="32"/>
        </w:rPr>
      </w:pPr>
      <w:r>
        <w:rPr>
          <w:kern w:val="0"/>
          <w:szCs w:val="32"/>
        </w:rPr>
        <w:t>1.充分发挥市场在资源配置中的决定性作用，进一步精简行政审批，减少环节、简化程序、提高效率，降低制度性交易成本。</w:t>
      </w:r>
    </w:p>
    <w:p w14:paraId="4272EA09">
      <w:pPr>
        <w:autoSpaceDE w:val="0"/>
        <w:autoSpaceDN w:val="0"/>
        <w:adjustRightInd w:val="0"/>
        <w:spacing w:line="590" w:lineRule="exact"/>
        <w:ind w:firstLine="640" w:firstLineChars="200"/>
        <w:rPr>
          <w:kern w:val="0"/>
          <w:szCs w:val="32"/>
        </w:rPr>
      </w:pPr>
      <w:r>
        <w:rPr>
          <w:kern w:val="0"/>
          <w:szCs w:val="32"/>
        </w:rPr>
        <w:t>2.改革完善储备体系和运营方式，加强全区储备，完善市县储备，进一步发挥政府储备引导作用，鼓励企业商业储备，推动形成自治区储备与中央、市县储备、政府储备与企业储备互为补充的协同发展格局。</w:t>
      </w:r>
    </w:p>
    <w:p w14:paraId="6978D7C1">
      <w:pPr>
        <w:autoSpaceDE w:val="0"/>
        <w:autoSpaceDN w:val="0"/>
        <w:adjustRightInd w:val="0"/>
        <w:spacing w:line="590" w:lineRule="exact"/>
        <w:ind w:firstLine="640" w:firstLineChars="200"/>
        <w:rPr>
          <w:kern w:val="0"/>
          <w:szCs w:val="32"/>
        </w:rPr>
      </w:pPr>
      <w:r>
        <w:rPr>
          <w:kern w:val="0"/>
          <w:szCs w:val="32"/>
        </w:rPr>
        <w:t>3.加强市场分析预测和监测预警，充分运用大数据等科技手段，强化动态监控，提高储备防风险能力，增强储备在保障国家安全、稳定社会预期、引导市场方面的作用。</w:t>
      </w:r>
    </w:p>
    <w:p w14:paraId="7C92E872">
      <w:pPr>
        <w:autoSpaceDE w:val="0"/>
        <w:autoSpaceDN w:val="0"/>
        <w:adjustRightInd w:val="0"/>
        <w:spacing w:line="590" w:lineRule="exact"/>
        <w:ind w:firstLine="640" w:firstLineChars="200"/>
        <w:rPr>
          <w:kern w:val="0"/>
          <w:szCs w:val="32"/>
        </w:rPr>
      </w:pPr>
      <w:r>
        <w:rPr>
          <w:kern w:val="0"/>
          <w:szCs w:val="32"/>
        </w:rPr>
        <w:t>4.加强监督管理，创新监管方式，全面推进“双随机、一公开”和“互联网+监管”，着力加强安全生产，根据自治区储备总体发展规划和品种目录及动用指令，监督储备主体做好收储、轮换，确保全区储备物资收得进、储得好、调得动、用得上。</w:t>
      </w:r>
    </w:p>
    <w:p w14:paraId="7C6F3A0E">
      <w:pPr>
        <w:autoSpaceDE w:val="0"/>
        <w:autoSpaceDN w:val="0"/>
        <w:adjustRightInd w:val="0"/>
        <w:spacing w:line="590" w:lineRule="exact"/>
        <w:ind w:firstLine="640" w:firstLineChars="200"/>
        <w:rPr>
          <w:kern w:val="0"/>
          <w:szCs w:val="32"/>
        </w:rPr>
      </w:pPr>
      <w:r>
        <w:rPr>
          <w:kern w:val="0"/>
          <w:szCs w:val="32"/>
        </w:rPr>
        <w:t>（十）有关职责分工：</w:t>
      </w:r>
    </w:p>
    <w:p w14:paraId="2880A5AF">
      <w:pPr>
        <w:autoSpaceDE w:val="0"/>
        <w:autoSpaceDN w:val="0"/>
        <w:adjustRightInd w:val="0"/>
        <w:spacing w:line="590" w:lineRule="exact"/>
        <w:ind w:firstLine="640" w:firstLineChars="200"/>
        <w:rPr>
          <w:kern w:val="0"/>
          <w:szCs w:val="32"/>
        </w:rPr>
      </w:pPr>
      <w:r>
        <w:rPr>
          <w:kern w:val="0"/>
          <w:szCs w:val="32"/>
        </w:rPr>
        <w:t>1.与自治区发展和改革委员会（自治区能源局）的职责分工。自治区发展和改革委员会（自治区能源局）拟订自治区储备粮棉糖等战略物资储备的规划和总量计划；拟订煤炭、石油、天然气战略储备规划，提出自治区煤炭、石油、天然气战略储备收储、动用建议，报自治区人民政府审批。自治区粮食和物资储备局负责粮棉糖等战略物资的收储、轮换和日常管理，统筹煤炭、石油、天然气储备管理工作，按照自治区发展和改革委员会的动用指令，按程序组织实施。</w:t>
      </w:r>
    </w:p>
    <w:p w14:paraId="3776ECF2">
      <w:pPr>
        <w:spacing w:line="580" w:lineRule="exact"/>
        <w:ind w:firstLine="640" w:firstLineChars="200"/>
        <w:rPr>
          <w:kern w:val="0"/>
          <w:szCs w:val="32"/>
        </w:rPr>
      </w:pPr>
      <w:r>
        <w:rPr>
          <w:kern w:val="0"/>
          <w:szCs w:val="32"/>
        </w:rPr>
        <w:t>2.与自治区应急管理厅的职责分工。应急管理厅负责提出自治区应急、救灾物资的储备需求和动用决策，组织编制自治区应急、救灾物资储备规划、品种目录和标准，会同自治区粮食和物资储备局等部门确定年度购置计划，根据需要下达动用指令。自治区粮食和物资储备局根据自治区应急、救灾物资储备规划、品种目录和标准、年度购置计划，负责自治区应急、救灾物资的收储、轮换和日常管理，根据自治区应急管理厅的动用指令，按程序组织调出。</w:t>
      </w:r>
    </w:p>
    <w:p w14:paraId="029B0F83">
      <w:pPr>
        <w:spacing w:line="600" w:lineRule="exact"/>
        <w:ind w:firstLine="640" w:firstLineChars="200"/>
        <w:rPr>
          <w:rFonts w:eastAsia="黑体"/>
          <w:szCs w:val="32"/>
        </w:rPr>
      </w:pPr>
      <w:r>
        <w:rPr>
          <w:rFonts w:eastAsia="黑体"/>
          <w:szCs w:val="32"/>
        </w:rPr>
        <w:t>二、机构设置情况</w:t>
      </w:r>
    </w:p>
    <w:p w14:paraId="7F70A9A0">
      <w:pPr>
        <w:spacing w:line="600" w:lineRule="exact"/>
        <w:ind w:firstLine="640" w:firstLineChars="200"/>
        <w:rPr>
          <w:rFonts w:eastAsia="楷体"/>
          <w:szCs w:val="32"/>
        </w:rPr>
      </w:pPr>
      <w:r>
        <w:rPr>
          <w:rFonts w:eastAsia="楷体"/>
          <w:szCs w:val="32"/>
        </w:rPr>
        <w:t>（一）自治区粮食和物资储备局内设机构情况</w:t>
      </w:r>
    </w:p>
    <w:p w14:paraId="431EF3C8">
      <w:pPr>
        <w:spacing w:line="580" w:lineRule="exact"/>
        <w:ind w:firstLine="630" w:firstLineChars="197"/>
        <w:rPr>
          <w:rFonts w:eastAsia="宋体"/>
          <w:b/>
          <w:bCs/>
          <w:color w:val="000000"/>
          <w:kern w:val="0"/>
          <w:sz w:val="30"/>
          <w:szCs w:val="30"/>
        </w:rPr>
      </w:pPr>
      <w:r>
        <w:rPr>
          <w:kern w:val="0"/>
          <w:szCs w:val="32"/>
        </w:rPr>
        <w:t>依据《自治区党委  自治区人民政府办公厅关于印发〈广西壮族自治区粮食和物资储备局职能配置、内设机构和人员编制规定〉的通知》（厅发〔2019〕36号）精神，自治区粮食和物资储备局是自治区发展和改革委员会的主管全区粮食工作的部门管理机构。</w:t>
      </w:r>
      <w:r>
        <w:rPr>
          <w:szCs w:val="32"/>
        </w:rPr>
        <w:t>自治区粮食和物资储备局</w:t>
      </w:r>
      <w:r>
        <w:rPr>
          <w:kern w:val="0"/>
          <w:szCs w:val="32"/>
        </w:rPr>
        <w:t>属财政全额拨款的行政单位，内设办公室（法规体改处）、粮食储备与产业发展处、物资与能源储备处、规划建设与安全仓储处、财务审计处、执法督查处、人事处、机关党委和离退休人员工作处。内设机构职能如下：</w:t>
      </w:r>
      <w:r>
        <w:rPr>
          <w:rFonts w:eastAsia="宋体"/>
          <w:b/>
          <w:bCs/>
          <w:color w:val="000000"/>
          <w:kern w:val="0"/>
          <w:sz w:val="30"/>
          <w:szCs w:val="30"/>
        </w:rPr>
        <w:t xml:space="preserve"> </w:t>
      </w:r>
    </w:p>
    <w:p w14:paraId="5855E334">
      <w:pPr>
        <w:spacing w:line="580" w:lineRule="exact"/>
        <w:ind w:firstLine="630" w:firstLineChars="197"/>
        <w:rPr>
          <w:kern w:val="0"/>
          <w:szCs w:val="32"/>
        </w:rPr>
      </w:pPr>
      <w:r>
        <w:rPr>
          <w:kern w:val="0"/>
          <w:szCs w:val="32"/>
        </w:rPr>
        <w:t>1.办公室 （法规体改处）。负责机关日常运转，承担文电、机要、档案、会务、信息、督查、信访、安全保密、政务公开、新闻宣传等工作。负责机关绩效考评工作。组织研究粮食和物资储备的重大问题。承担粮食流通和物资储备体制改革工作，组织起草全区粮食流通和物资储备管理的地方性法规、规章和规范性文件草案和有关政策，承担规范性文件合法性审查工作，承担行政复议、行政应诉等工作，负责普法宣传教育和依法行政的有关工作。</w:t>
      </w:r>
    </w:p>
    <w:p w14:paraId="0850E944">
      <w:pPr>
        <w:spacing w:line="580" w:lineRule="exact"/>
        <w:ind w:firstLine="630" w:firstLineChars="197"/>
        <w:rPr>
          <w:kern w:val="0"/>
          <w:szCs w:val="32"/>
        </w:rPr>
      </w:pPr>
      <w:r>
        <w:rPr>
          <w:kern w:val="0"/>
          <w:szCs w:val="32"/>
        </w:rPr>
        <w:t>2.粮食储备与产业发展处。研究提出全区粮食购销政策并组织实施，拟订全区粮食收购市场准入指导标准，指导协调政策性粮食购销和自治区储备粮管理，研究提出全区粮食收购、销售计划并组织实施，管理轮换计划，组织拟订全区粮食市场体系建设与发展规划并组织实施。指导、协调全区粮食产业发展，承担全区粮食产业发展规划制定工作，组织实施 “广西香米”产业发展，“中国好粮油”行动等。负责协调军粮供应和产销合作工作。承担自治区粮食市场监测预警、统计工作。</w:t>
      </w:r>
    </w:p>
    <w:p w14:paraId="54062A19">
      <w:pPr>
        <w:spacing w:line="580" w:lineRule="exact"/>
        <w:ind w:firstLine="630" w:firstLineChars="197"/>
        <w:rPr>
          <w:kern w:val="0"/>
          <w:szCs w:val="32"/>
        </w:rPr>
      </w:pPr>
      <w:r>
        <w:rPr>
          <w:kern w:val="0"/>
          <w:szCs w:val="32"/>
        </w:rPr>
        <w:t>3.物资与能源储备处。研究提出健全全区战略物资储备体系的建议，研究提出战略物资储备规划、计划的建议。研究提出全区糖棉收购、销售计划并组织实施。拟订全区救灾物资、重要物资、应急储备物资和煤炭、石油、天然气等战略物资储备政策和规章制度并组织实施。统筹煤炭、石油、天然气储备管理工作。组织实施救灾物资、重要物资、应急储备物资和战略物资储备的收储、轮换和日常管理。承担全区糖棉和战略储备物资的市场监测预警工作，及相关储备统计工作。</w:t>
      </w:r>
    </w:p>
    <w:p w14:paraId="1154BFF6">
      <w:pPr>
        <w:spacing w:line="580" w:lineRule="exact"/>
        <w:ind w:firstLine="630" w:firstLineChars="197"/>
        <w:rPr>
          <w:kern w:val="0"/>
          <w:szCs w:val="32"/>
        </w:rPr>
      </w:pPr>
      <w:r>
        <w:rPr>
          <w:kern w:val="0"/>
          <w:szCs w:val="32"/>
        </w:rPr>
        <w:t>4.规划建设与安全仓储处。研究提出自治区储备总体发展规划和品种目录的建议，组织编制粮食流通、加工和物资储备基础设施建设规划，研究提出粮食流通和物资储备中央、自治区投资和财政性资金投资方向、规模以及安排的建议。按照规定权限组织有关项目的资金申请、项目审核并指导实施。承担直属单位安全储存和安全生产的监管，承担粮食流通、加工行业安全生产工作的监管。制定粮食和物资储备的仓储管理政策和制度并组织实施。组织拟订粮食流通和物资储备有关标准、粮食质量标准，制定有关技术规范并监督执行，指导粮食流通和物资储备的科技创新、技术改造。负责粮食和物资储备系统及局机关信息化建设工作。</w:t>
      </w:r>
    </w:p>
    <w:p w14:paraId="75979B4C">
      <w:pPr>
        <w:spacing w:line="580" w:lineRule="exact"/>
        <w:ind w:firstLine="630" w:firstLineChars="197"/>
        <w:rPr>
          <w:kern w:val="0"/>
          <w:szCs w:val="32"/>
        </w:rPr>
      </w:pPr>
      <w:r>
        <w:rPr>
          <w:kern w:val="0"/>
          <w:szCs w:val="32"/>
        </w:rPr>
        <w:t>5.财务审计处。拟订有关财务管理、资产管理、审计监督等制度、办法并组织实施。负责管理相关资金。负责直属单位国有资产监督管理。承担直属单位内部审计工作。编制部门预决算，负责局机关预算执行和日常财务核算监督。</w:t>
      </w:r>
    </w:p>
    <w:p w14:paraId="441FF056">
      <w:pPr>
        <w:spacing w:line="580" w:lineRule="exact"/>
        <w:ind w:firstLine="630" w:firstLineChars="197"/>
        <w:rPr>
          <w:kern w:val="0"/>
          <w:szCs w:val="32"/>
        </w:rPr>
      </w:pPr>
      <w:r>
        <w:rPr>
          <w:kern w:val="0"/>
          <w:szCs w:val="32"/>
        </w:rPr>
        <w:t>6.执法督查处。拟订粮食和物资储备监督检查制度并组织实施，监督检查粮食和物资储备数量、质量和储存安全，以及有关法律法规、规章等制度和政策执行情况。对管理的政府储备、企业储备以及储备政策执行情况进行监督检查。建立健全储备责任追究机制，依法组织对重大案件查处和督查督办，负责“12325”监管热线电话受理、处置及运行维护工作。组织指导政策性粮食购销活动的监督检查，负责超标粮食处置监督。建立粮食企业信用监管体系。承担粮食安全责任制考核工作办公室的日常工作。</w:t>
      </w:r>
    </w:p>
    <w:p w14:paraId="31B386B4">
      <w:pPr>
        <w:spacing w:line="580" w:lineRule="exact"/>
        <w:ind w:firstLine="630" w:firstLineChars="197"/>
        <w:rPr>
          <w:kern w:val="0"/>
          <w:szCs w:val="32"/>
        </w:rPr>
      </w:pPr>
      <w:r>
        <w:rPr>
          <w:kern w:val="0"/>
          <w:szCs w:val="32"/>
        </w:rPr>
        <w:t>7.人事处。负责机关和直属单位的干部人事、机构编制、工资福利、社会保障等工作。指导粮食和物资储备系统人才队伍建设和教育培训以及职业技能鉴定工作，指导直属院校教育工作。</w:t>
      </w:r>
    </w:p>
    <w:p w14:paraId="2FDB0A70">
      <w:pPr>
        <w:spacing w:line="580" w:lineRule="exact"/>
        <w:ind w:firstLine="630" w:firstLineChars="197"/>
        <w:rPr>
          <w:kern w:val="0"/>
          <w:szCs w:val="32"/>
        </w:rPr>
      </w:pPr>
      <w:r>
        <w:rPr>
          <w:kern w:val="0"/>
          <w:szCs w:val="32"/>
        </w:rPr>
        <w:t>机关党委。负责机关及直属单位的党群工作。</w:t>
      </w:r>
    </w:p>
    <w:p w14:paraId="57EDD17A">
      <w:pPr>
        <w:spacing w:line="580" w:lineRule="exact"/>
        <w:ind w:firstLine="630" w:firstLineChars="197"/>
        <w:rPr>
          <w:kern w:val="0"/>
          <w:szCs w:val="32"/>
        </w:rPr>
      </w:pPr>
      <w:r>
        <w:rPr>
          <w:kern w:val="0"/>
          <w:szCs w:val="32"/>
        </w:rPr>
        <w:t>离退休人员工作处。负责机关离退休干部工作，指导直属单位的离退休人员工作。</w:t>
      </w:r>
    </w:p>
    <w:p w14:paraId="54DC6A56">
      <w:pPr>
        <w:spacing w:line="580" w:lineRule="exact"/>
        <w:ind w:firstLine="640" w:firstLineChars="200"/>
        <w:rPr>
          <w:rFonts w:eastAsia="楷体"/>
          <w:szCs w:val="32"/>
        </w:rPr>
      </w:pPr>
      <w:r>
        <w:rPr>
          <w:rFonts w:eastAsia="楷体"/>
          <w:szCs w:val="32"/>
        </w:rPr>
        <w:t>（二）所属单位机构设置及单位职能</w:t>
      </w:r>
    </w:p>
    <w:p w14:paraId="647E6398">
      <w:pPr>
        <w:autoSpaceDE w:val="0"/>
        <w:autoSpaceDN w:val="0"/>
        <w:adjustRightInd w:val="0"/>
        <w:spacing w:line="580" w:lineRule="exact"/>
        <w:ind w:firstLine="640" w:firstLineChars="200"/>
        <w:rPr>
          <w:kern w:val="0"/>
          <w:szCs w:val="32"/>
        </w:rPr>
      </w:pPr>
      <w:r>
        <w:rPr>
          <w:kern w:val="0"/>
          <w:szCs w:val="32"/>
        </w:rPr>
        <w:t>我局直属事业单位共6个，具体情况如下。</w:t>
      </w:r>
    </w:p>
    <w:p w14:paraId="51DC0DF2">
      <w:pPr>
        <w:autoSpaceDE w:val="0"/>
        <w:autoSpaceDN w:val="0"/>
        <w:adjustRightInd w:val="0"/>
        <w:spacing w:line="600" w:lineRule="exact"/>
        <w:ind w:firstLine="643" w:firstLineChars="200"/>
        <w:rPr>
          <w:color w:val="000000"/>
          <w:szCs w:val="32"/>
        </w:rPr>
      </w:pPr>
      <w:r>
        <w:rPr>
          <w:b/>
          <w:color w:val="000000"/>
          <w:kern w:val="0"/>
          <w:szCs w:val="32"/>
        </w:rPr>
        <w:t>1.自治区粮食和物资储备局机关服务中心</w:t>
      </w:r>
    </w:p>
    <w:p w14:paraId="2C9303C3">
      <w:pPr>
        <w:autoSpaceDE w:val="0"/>
        <w:autoSpaceDN w:val="0"/>
        <w:adjustRightInd w:val="0"/>
        <w:spacing w:line="600" w:lineRule="exact"/>
        <w:ind w:firstLine="643" w:firstLineChars="200"/>
        <w:rPr>
          <w:color w:val="000000"/>
          <w:szCs w:val="32"/>
        </w:rPr>
      </w:pPr>
      <w:r>
        <w:rPr>
          <w:b/>
          <w:color w:val="000000"/>
          <w:szCs w:val="32"/>
        </w:rPr>
        <w:t>机构设置：</w:t>
      </w:r>
      <w:r>
        <w:rPr>
          <w:color w:val="000000"/>
          <w:szCs w:val="32"/>
        </w:rPr>
        <w:t>属于公益一类事业单位。设有财务、保卫、小车班、信息、文印、收发、物业等部门。</w:t>
      </w:r>
    </w:p>
    <w:p w14:paraId="738789F0">
      <w:pPr>
        <w:autoSpaceDE w:val="0"/>
        <w:autoSpaceDN w:val="0"/>
        <w:adjustRightInd w:val="0"/>
        <w:spacing w:line="600" w:lineRule="exact"/>
        <w:ind w:firstLine="643" w:firstLineChars="200"/>
        <w:rPr>
          <w:color w:val="000000"/>
          <w:szCs w:val="32"/>
        </w:rPr>
      </w:pPr>
      <w:r>
        <w:rPr>
          <w:b/>
          <w:color w:val="000000"/>
          <w:kern w:val="0"/>
          <w:szCs w:val="32"/>
        </w:rPr>
        <w:t>基本职能：</w:t>
      </w:r>
      <w:r>
        <w:rPr>
          <w:color w:val="000000"/>
          <w:szCs w:val="32"/>
        </w:rPr>
        <w:t>为局机关办公和职工生活提供后勤服务，管理自治区粮食和物资储备局的国有资产，负责粮食和物资储备局及大院内直属单位常住人口的户籍登记、管理、身份证换发，两栋办公大楼的安全保卫、公共卫生、计划生育，负责公务用车管理和使用；资料的文印、收发、会议和接待、供水供电系统的维护维修等日常工作。</w:t>
      </w:r>
    </w:p>
    <w:p w14:paraId="26199D75">
      <w:pPr>
        <w:autoSpaceDE w:val="0"/>
        <w:autoSpaceDN w:val="0"/>
        <w:adjustRightInd w:val="0"/>
        <w:spacing w:line="600" w:lineRule="exact"/>
        <w:ind w:firstLine="643" w:firstLineChars="200"/>
        <w:rPr>
          <w:b/>
          <w:color w:val="000000"/>
          <w:kern w:val="0"/>
          <w:szCs w:val="32"/>
        </w:rPr>
      </w:pPr>
      <w:r>
        <w:rPr>
          <w:b/>
          <w:color w:val="000000"/>
          <w:kern w:val="0"/>
          <w:szCs w:val="32"/>
        </w:rPr>
        <w:t>2.自治区粮油质量检验中心</w:t>
      </w:r>
    </w:p>
    <w:p w14:paraId="579B2415">
      <w:pPr>
        <w:autoSpaceDE w:val="0"/>
        <w:autoSpaceDN w:val="0"/>
        <w:adjustRightInd w:val="0"/>
        <w:spacing w:line="600" w:lineRule="exact"/>
        <w:ind w:firstLine="643" w:firstLineChars="200"/>
        <w:rPr>
          <w:color w:val="000000"/>
          <w:szCs w:val="32"/>
        </w:rPr>
      </w:pPr>
      <w:r>
        <w:rPr>
          <w:b/>
          <w:color w:val="000000"/>
          <w:szCs w:val="32"/>
        </w:rPr>
        <w:t>机构设置：</w:t>
      </w:r>
      <w:r>
        <w:rPr>
          <w:color w:val="000000"/>
          <w:szCs w:val="32"/>
        </w:rPr>
        <w:t>属于公益二类事业单位。内部机构设置为三个部门：综合部、业务部、检验部。</w:t>
      </w:r>
    </w:p>
    <w:p w14:paraId="566F552C">
      <w:pPr>
        <w:autoSpaceDE w:val="0"/>
        <w:autoSpaceDN w:val="0"/>
        <w:adjustRightInd w:val="0"/>
        <w:spacing w:line="600" w:lineRule="exact"/>
        <w:ind w:firstLine="643" w:firstLineChars="200"/>
        <w:rPr>
          <w:b/>
          <w:color w:val="000000"/>
          <w:kern w:val="0"/>
          <w:szCs w:val="32"/>
        </w:rPr>
      </w:pPr>
      <w:r>
        <w:rPr>
          <w:b/>
          <w:color w:val="000000"/>
          <w:kern w:val="0"/>
          <w:szCs w:val="32"/>
        </w:rPr>
        <w:t>基本职能：</w:t>
      </w:r>
    </w:p>
    <w:p w14:paraId="76212E7E">
      <w:pPr>
        <w:pStyle w:val="8"/>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①</w:t>
      </w:r>
      <w:r>
        <w:rPr>
          <w:rFonts w:ascii="Times New Roman" w:hAnsi="Times New Roman" w:eastAsia="仿宋_GB2312" w:cs="Times New Roman"/>
          <w:color w:val="000000"/>
          <w:sz w:val="32"/>
          <w:szCs w:val="32"/>
        </w:rPr>
        <w:t>具备检验各种粮食的质量指标、储存品质指标、营养指标、污染物、真菌毒素、食品添加剂、违法添加物、微生物、转基因等8大类323个参数的检测能力。</w:t>
      </w:r>
    </w:p>
    <w:p w14:paraId="518528E3">
      <w:pPr>
        <w:pStyle w:val="8"/>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②</w:t>
      </w:r>
      <w:r>
        <w:rPr>
          <w:rFonts w:ascii="Times New Roman" w:hAnsi="Times New Roman" w:eastAsia="仿宋_GB2312" w:cs="Times New Roman"/>
          <w:color w:val="000000"/>
          <w:sz w:val="32"/>
          <w:szCs w:val="32"/>
        </w:rPr>
        <w:t>参与制订粮食质量安全管理制度和监测计划。</w:t>
      </w:r>
    </w:p>
    <w:p w14:paraId="72FBD54B">
      <w:pPr>
        <w:pStyle w:val="8"/>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③</w:t>
      </w:r>
      <w:r>
        <w:rPr>
          <w:rFonts w:ascii="Times New Roman" w:hAnsi="Times New Roman" w:eastAsia="仿宋_GB2312" w:cs="Times New Roman"/>
          <w:color w:val="000000"/>
          <w:sz w:val="32"/>
          <w:szCs w:val="32"/>
        </w:rPr>
        <w:t>承担粮食质量安全监测预警体系建设和快速反应机制研究。</w:t>
      </w:r>
    </w:p>
    <w:p w14:paraId="152ED893">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④</w:t>
      </w:r>
      <w:r>
        <w:rPr>
          <w:rFonts w:ascii="Times New Roman" w:hAnsi="Times New Roman" w:eastAsia="仿宋_GB2312" w:cs="Times New Roman"/>
          <w:color w:val="000000"/>
          <w:sz w:val="32"/>
          <w:szCs w:val="32"/>
        </w:rPr>
        <w:t>承担粮食质量调查、品质测报和风险监测检验把关工作，为发展“三农”、“中国好粮油”和农户科学储粮提供技术服务。提出粮食质量安全监管的重点区域、重点环节、重点项目、重点监管对象以及当地粮食出库必检项目与强制检验的政策建议。</w:t>
      </w:r>
    </w:p>
    <w:p w14:paraId="1173F6F8">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⑤</w:t>
      </w:r>
      <w:r>
        <w:rPr>
          <w:rFonts w:ascii="Times New Roman" w:hAnsi="Times New Roman" w:eastAsia="仿宋_GB2312" w:cs="Times New Roman"/>
          <w:color w:val="000000"/>
          <w:sz w:val="32"/>
          <w:szCs w:val="32"/>
        </w:rPr>
        <w:t>承担粮食质量安全重大事故与纠纷的调查、鉴定和评价以及仲裁检验工作，接受有关监管部门的执法监督抽查委托或仲裁检验。</w:t>
      </w:r>
    </w:p>
    <w:p w14:paraId="7FCB2F84">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⑥</w:t>
      </w:r>
      <w:r>
        <w:rPr>
          <w:rFonts w:ascii="Times New Roman" w:hAnsi="Times New Roman" w:eastAsia="仿宋_GB2312" w:cs="Times New Roman"/>
          <w:color w:val="000000"/>
          <w:sz w:val="32"/>
          <w:szCs w:val="32"/>
        </w:rPr>
        <w:t>承担或参与国家、国际、行业、地方和企业粮油标准及技术规范的基础性研究和制修订工作，承担粮油标准研究验证检验、标准物质制备和定值工作。</w:t>
      </w:r>
    </w:p>
    <w:p w14:paraId="1F326350">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⑦</w:t>
      </w:r>
      <w:r>
        <w:rPr>
          <w:rFonts w:ascii="Times New Roman" w:hAnsi="Times New Roman" w:eastAsia="仿宋_GB2312" w:cs="Times New Roman"/>
          <w:color w:val="000000"/>
          <w:sz w:val="32"/>
          <w:szCs w:val="32"/>
        </w:rPr>
        <w:t>承担对粮食质量安全检监测机构的技术培训、技术服务和技术指导工作，对外开展技术培训、技术咨询、技术研发等各项服务。</w:t>
      </w:r>
    </w:p>
    <w:p w14:paraId="09CEE8DB">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⑧</w:t>
      </w:r>
      <w:r>
        <w:rPr>
          <w:rFonts w:ascii="Times New Roman" w:hAnsi="Times New Roman" w:eastAsia="仿宋_GB2312" w:cs="Times New Roman"/>
          <w:color w:val="000000"/>
          <w:sz w:val="32"/>
          <w:szCs w:val="32"/>
        </w:rPr>
        <w:t>承担开展粮食质量评价、科技成果转化和推广普及，研究、分析、处理粮食质量安全信息。</w:t>
      </w:r>
    </w:p>
    <w:p w14:paraId="33876699">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⑨</w:t>
      </w:r>
      <w:r>
        <w:rPr>
          <w:rFonts w:ascii="Times New Roman" w:hAnsi="Times New Roman" w:eastAsia="仿宋_GB2312" w:cs="Times New Roman"/>
          <w:color w:val="000000"/>
          <w:sz w:val="32"/>
          <w:szCs w:val="32"/>
        </w:rPr>
        <w:t>负责对内市、县级粮食检验监测机构的技术指导与协调协调。</w:t>
      </w:r>
    </w:p>
    <w:p w14:paraId="29997F15">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color w:val="000000"/>
          <w:sz w:val="32"/>
          <w:szCs w:val="32"/>
        </w:rPr>
        <w:t>⑩</w:t>
      </w:r>
      <w:r>
        <w:rPr>
          <w:rFonts w:ascii="Times New Roman" w:hAnsi="Times New Roman" w:eastAsia="仿宋_GB2312" w:cs="Times New Roman"/>
          <w:color w:val="000000"/>
          <w:sz w:val="32"/>
          <w:szCs w:val="32"/>
        </w:rPr>
        <w:t>接受社会委托检验。</w:t>
      </w:r>
    </w:p>
    <w:p w14:paraId="7848D701">
      <w:pPr>
        <w:pStyle w:val="8"/>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Cambria Math" w:hAnsi="Cambria Math" w:eastAsia="仿宋_GB2312" w:cs="Cambria Math"/>
          <w:color w:val="000000"/>
          <w:sz w:val="32"/>
          <w:szCs w:val="32"/>
        </w:rPr>
        <w:t>⑪</w:t>
      </w:r>
      <w:r>
        <w:rPr>
          <w:rFonts w:ascii="Times New Roman" w:hAnsi="Times New Roman" w:eastAsia="仿宋_GB2312" w:cs="Times New Roman"/>
          <w:color w:val="000000"/>
          <w:sz w:val="32"/>
          <w:szCs w:val="32"/>
        </w:rPr>
        <w:t>负责广西粮食行业粮油质量检验员职业技能培训鉴定工作。</w:t>
      </w:r>
    </w:p>
    <w:p w14:paraId="4B3B862A">
      <w:pPr>
        <w:spacing w:line="600" w:lineRule="exact"/>
        <w:ind w:firstLine="640" w:firstLineChars="200"/>
        <w:rPr>
          <w:color w:val="000000"/>
          <w:szCs w:val="32"/>
        </w:rPr>
      </w:pPr>
      <w:r>
        <w:rPr>
          <w:rFonts w:ascii="Cambria Math" w:hAnsi="Cambria Math" w:cs="Cambria Math"/>
          <w:color w:val="000000"/>
          <w:kern w:val="0"/>
          <w:szCs w:val="32"/>
        </w:rPr>
        <w:t>⑫</w:t>
      </w:r>
      <w:r>
        <w:rPr>
          <w:color w:val="000000"/>
          <w:szCs w:val="32"/>
        </w:rPr>
        <w:t>承担国家粮食和物资储备局、自治区粮食和物资储备局新职能肉、粮、棉等监督抽检检验把关工作。</w:t>
      </w:r>
    </w:p>
    <w:p w14:paraId="7B7B802C">
      <w:pPr>
        <w:autoSpaceDE w:val="0"/>
        <w:autoSpaceDN w:val="0"/>
        <w:adjustRightInd w:val="0"/>
        <w:spacing w:line="600" w:lineRule="exact"/>
        <w:ind w:firstLine="643" w:firstLineChars="200"/>
        <w:rPr>
          <w:b/>
          <w:color w:val="000000"/>
          <w:kern w:val="0"/>
          <w:szCs w:val="32"/>
        </w:rPr>
      </w:pPr>
      <w:r>
        <w:rPr>
          <w:b/>
          <w:color w:val="000000"/>
          <w:kern w:val="0"/>
          <w:szCs w:val="32"/>
        </w:rPr>
        <w:t>3.自治区军粮供应中心</w:t>
      </w:r>
    </w:p>
    <w:p w14:paraId="5365E8E4">
      <w:pPr>
        <w:spacing w:line="580" w:lineRule="exact"/>
        <w:ind w:firstLine="630" w:firstLineChars="196"/>
        <w:rPr>
          <w:color w:val="000000"/>
          <w:szCs w:val="32"/>
        </w:rPr>
      </w:pPr>
      <w:r>
        <w:rPr>
          <w:b/>
          <w:color w:val="000000"/>
          <w:szCs w:val="32"/>
        </w:rPr>
        <w:t>机构设置：</w:t>
      </w:r>
      <w:r>
        <w:rPr>
          <w:color w:val="000000"/>
          <w:szCs w:val="32"/>
        </w:rPr>
        <w:t>属于</w:t>
      </w:r>
      <w:r>
        <w:rPr>
          <w:kern w:val="0"/>
          <w:szCs w:val="32"/>
        </w:rPr>
        <w:t>公益一类参公管理事业单位，</w:t>
      </w:r>
      <w:r>
        <w:rPr>
          <w:color w:val="000000"/>
          <w:kern w:val="0"/>
          <w:szCs w:val="32"/>
        </w:rPr>
        <w:t>设置办公室、财务、文印等部门。</w:t>
      </w:r>
    </w:p>
    <w:p w14:paraId="1AB52856">
      <w:pPr>
        <w:spacing w:line="580" w:lineRule="exact"/>
        <w:ind w:firstLine="646"/>
        <w:rPr>
          <w:color w:val="000000"/>
          <w:kern w:val="0"/>
          <w:szCs w:val="32"/>
        </w:rPr>
      </w:pPr>
      <w:r>
        <w:rPr>
          <w:b/>
          <w:color w:val="000000"/>
          <w:kern w:val="0"/>
          <w:szCs w:val="32"/>
        </w:rPr>
        <w:t>基本职能：</w:t>
      </w:r>
      <w:r>
        <w:rPr>
          <w:color w:val="000000"/>
          <w:kern w:val="0"/>
          <w:szCs w:val="32"/>
        </w:rPr>
        <w:t>主要是建立完善全区军粮供应规章制度,协调安排统一筹措全区军供粮源,管理、监督、检查全区军粮供应部门的军供工作及军粮财务情况；认定、调整、建设、管理和统筹规划全区的军供站资格；管理军供网点维修改造项目的上报、把关和验收；分析军粮计划的执行；核算全区军粮销售数量和军粮差价补贴款的拨付、结算。按照国家粮食和物资储备局军粮供应办公室的要求，严格执行国家军粮办的有关文件规定，在粮食购销市场化的形势下抓大带小，以地、市为中心辐射全区，全面带动各军粮供应部门做好军供工作，促进我区军粮供应事业的发展。</w:t>
      </w:r>
    </w:p>
    <w:p w14:paraId="7B70F48A">
      <w:pPr>
        <w:autoSpaceDE w:val="0"/>
        <w:autoSpaceDN w:val="0"/>
        <w:adjustRightInd w:val="0"/>
        <w:spacing w:line="600" w:lineRule="exact"/>
        <w:ind w:firstLine="643" w:firstLineChars="200"/>
        <w:rPr>
          <w:b/>
          <w:color w:val="000000"/>
          <w:kern w:val="0"/>
          <w:szCs w:val="32"/>
        </w:rPr>
      </w:pPr>
      <w:r>
        <w:rPr>
          <w:b/>
          <w:color w:val="000000"/>
          <w:kern w:val="0"/>
          <w:szCs w:val="32"/>
        </w:rPr>
        <w:t>4.广西工商职业技术学院</w:t>
      </w:r>
    </w:p>
    <w:p w14:paraId="1659F911">
      <w:pPr>
        <w:spacing w:line="580" w:lineRule="exact"/>
        <w:ind w:firstLine="630" w:firstLineChars="196"/>
        <w:rPr>
          <w:b/>
          <w:color w:val="000000"/>
          <w:kern w:val="0"/>
          <w:szCs w:val="32"/>
        </w:rPr>
      </w:pPr>
      <w:r>
        <w:rPr>
          <w:b/>
          <w:color w:val="000000"/>
          <w:szCs w:val="32"/>
        </w:rPr>
        <w:t>机构设置：</w:t>
      </w:r>
      <w:r>
        <w:rPr>
          <w:color w:val="000000"/>
          <w:szCs w:val="32"/>
        </w:rPr>
        <w:t>属于</w:t>
      </w:r>
      <w:r>
        <w:rPr>
          <w:kern w:val="0"/>
          <w:szCs w:val="32"/>
        </w:rPr>
        <w:t>公益二类事业单位,</w:t>
      </w:r>
      <w:r>
        <w:rPr>
          <w:color w:val="000000"/>
          <w:kern w:val="0"/>
          <w:szCs w:val="32"/>
        </w:rPr>
        <w:t xml:space="preserve"> 学院设有党委办公室（学院办公室）、党委统战部、审计室、党委组织部、党委宣传部、教研处、党委学生工作部、后勤管理处、监察室、纪委办公室、科研规划处、招生就业处、计划财务处、国有资产管理处、团委、工会、会计学院、管理学院、经贸学院、财金学院、信息与设计学院、粮油康旅学院、马克思主义学院、通识教育学院、图书馆、信息技术中心、教学督导室。</w:t>
      </w:r>
    </w:p>
    <w:p w14:paraId="35901B8F">
      <w:pPr>
        <w:autoSpaceDE w:val="0"/>
        <w:autoSpaceDN w:val="0"/>
        <w:adjustRightInd w:val="0"/>
        <w:spacing w:line="600" w:lineRule="exact"/>
        <w:ind w:firstLine="643" w:firstLineChars="200"/>
        <w:rPr>
          <w:bCs/>
          <w:color w:val="000000"/>
          <w:kern w:val="0"/>
          <w:szCs w:val="32"/>
        </w:rPr>
      </w:pPr>
      <w:r>
        <w:rPr>
          <w:b/>
          <w:color w:val="000000"/>
          <w:kern w:val="0"/>
          <w:szCs w:val="32"/>
        </w:rPr>
        <w:t>基本职能：</w:t>
      </w:r>
      <w:r>
        <w:rPr>
          <w:bCs/>
          <w:color w:val="000000"/>
          <w:kern w:val="0"/>
          <w:szCs w:val="32"/>
        </w:rPr>
        <w:t>按照国家和自治区关于加快发展现代职业教育、实施职业教育改革的总体目标要求，基于广西职业教育“提质扩量”的现实需要，围绕“扩量”“提质”“惠民生”“强保障”，以争创广西乃至国家高水平高职学校、高水平专业群（“双高”）建设为重要载体，进一步扩大办学规模，提升人才培养质量，大力改善民生，强化内部管理，力争“十四五”期间整体办学实力与水平进入全国粮食行业和广西同类高职院校前列，形成以满足粮食行业人才和技术需求为根本，服务粮食收购、仓储、物流、加工、贸易于一体的粮食全产业链和广西区域经济社会发展的“粮•商”人才培养体系。</w:t>
      </w:r>
    </w:p>
    <w:p w14:paraId="5D974102">
      <w:pPr>
        <w:autoSpaceDE w:val="0"/>
        <w:autoSpaceDN w:val="0"/>
        <w:adjustRightInd w:val="0"/>
        <w:spacing w:line="600" w:lineRule="exact"/>
        <w:ind w:firstLine="643" w:firstLineChars="200"/>
        <w:rPr>
          <w:b/>
          <w:color w:val="000000"/>
          <w:kern w:val="0"/>
          <w:szCs w:val="32"/>
        </w:rPr>
      </w:pPr>
      <w:r>
        <w:rPr>
          <w:b/>
          <w:color w:val="000000"/>
          <w:kern w:val="0"/>
          <w:szCs w:val="32"/>
        </w:rPr>
        <w:t>5.广西工商技师学院</w:t>
      </w:r>
    </w:p>
    <w:p w14:paraId="063E8D17">
      <w:pPr>
        <w:autoSpaceDE w:val="0"/>
        <w:autoSpaceDN w:val="0"/>
        <w:adjustRightInd w:val="0"/>
        <w:spacing w:line="600" w:lineRule="exact"/>
        <w:ind w:firstLine="643" w:firstLineChars="200"/>
        <w:rPr>
          <w:color w:val="000000"/>
          <w:kern w:val="0"/>
          <w:szCs w:val="32"/>
        </w:rPr>
      </w:pPr>
      <w:r>
        <w:rPr>
          <w:b/>
          <w:color w:val="000000"/>
          <w:kern w:val="0"/>
          <w:szCs w:val="32"/>
        </w:rPr>
        <w:t>机构设置：</w:t>
      </w:r>
      <w:r>
        <w:rPr>
          <w:color w:val="000000"/>
          <w:szCs w:val="32"/>
        </w:rPr>
        <w:t>属于</w:t>
      </w:r>
      <w:r>
        <w:rPr>
          <w:kern w:val="0"/>
          <w:szCs w:val="32"/>
        </w:rPr>
        <w:t>公益二类事业单位,</w:t>
      </w:r>
      <w:r>
        <w:rPr>
          <w:color w:val="000000"/>
          <w:kern w:val="0"/>
          <w:szCs w:val="32"/>
        </w:rPr>
        <w:t>内部机构设置为：学院</w:t>
      </w:r>
      <w:r>
        <w:rPr>
          <w:color w:val="000000"/>
          <w:szCs w:val="32"/>
        </w:rPr>
        <w:t>办公室、财务科、学生管理科（保卫科）、招生办公室、就业培训科、组织人事科、总务科、教务科、党委办公室 、校团委、职业技能鉴定所等科室。</w:t>
      </w:r>
    </w:p>
    <w:p w14:paraId="65B00D90">
      <w:pPr>
        <w:spacing w:line="600" w:lineRule="exact"/>
        <w:ind w:firstLine="643" w:firstLineChars="200"/>
        <w:rPr>
          <w:color w:val="000000"/>
          <w:kern w:val="0"/>
          <w:szCs w:val="32"/>
        </w:rPr>
      </w:pPr>
      <w:r>
        <w:rPr>
          <w:b/>
          <w:color w:val="000000"/>
          <w:szCs w:val="32"/>
        </w:rPr>
        <w:t>基本职能：</w:t>
      </w:r>
      <w:r>
        <w:rPr>
          <w:color w:val="000000"/>
          <w:kern w:val="0"/>
          <w:szCs w:val="32"/>
        </w:rPr>
        <w:t>正规技工教育、短期职工技术培训、培养具有良好职业道德的中等专业技能人才。</w:t>
      </w:r>
    </w:p>
    <w:p w14:paraId="1319CC9E">
      <w:pPr>
        <w:autoSpaceDE w:val="0"/>
        <w:autoSpaceDN w:val="0"/>
        <w:adjustRightInd w:val="0"/>
        <w:spacing w:line="600" w:lineRule="exact"/>
        <w:ind w:firstLine="643" w:firstLineChars="200"/>
        <w:rPr>
          <w:b/>
          <w:color w:val="000000"/>
          <w:kern w:val="0"/>
          <w:szCs w:val="32"/>
        </w:rPr>
      </w:pPr>
      <w:r>
        <w:rPr>
          <w:b/>
          <w:color w:val="000000"/>
          <w:kern w:val="0"/>
          <w:szCs w:val="32"/>
        </w:rPr>
        <w:t>6.自治区救灾物资储备中心</w:t>
      </w:r>
    </w:p>
    <w:p w14:paraId="036FD3BA">
      <w:pPr>
        <w:spacing w:line="580" w:lineRule="exact"/>
        <w:ind w:firstLine="630" w:firstLineChars="196"/>
        <w:rPr>
          <w:kern w:val="0"/>
          <w:szCs w:val="32"/>
        </w:rPr>
      </w:pPr>
      <w:r>
        <w:rPr>
          <w:b/>
          <w:color w:val="000000"/>
          <w:kern w:val="0"/>
          <w:szCs w:val="32"/>
        </w:rPr>
        <w:t>机构设置：</w:t>
      </w:r>
      <w:r>
        <w:rPr>
          <w:color w:val="000000"/>
          <w:kern w:val="0"/>
          <w:szCs w:val="32"/>
        </w:rPr>
        <w:t>属于公益一类事业单位，设有办公室（党办）、财务科、物资管理科、仓储安全科等部门。</w:t>
      </w:r>
    </w:p>
    <w:p w14:paraId="1A0038CF">
      <w:pPr>
        <w:spacing w:line="600" w:lineRule="exact"/>
        <w:ind w:firstLine="643" w:firstLineChars="200"/>
        <w:rPr>
          <w:color w:val="000000"/>
          <w:kern w:val="0"/>
          <w:szCs w:val="32"/>
        </w:rPr>
      </w:pPr>
      <w:r>
        <w:rPr>
          <w:b/>
          <w:color w:val="000000"/>
          <w:szCs w:val="32"/>
        </w:rPr>
        <w:t>基本职能：</w:t>
      </w:r>
      <w:r>
        <w:rPr>
          <w:color w:val="000000"/>
          <w:kern w:val="0"/>
          <w:szCs w:val="32"/>
        </w:rPr>
        <w:t>承担中央级救灾物资储备管理及自治区本级救灾物资的采购、储备、调运等事务性工作；负责防汛抗旱物资仓储管理和代管中央防汛抗旱物资贵港仓库；协助救灾物资储备管理工作；协助救灾物资储备库建设、管理工作。</w:t>
      </w:r>
    </w:p>
    <w:p w14:paraId="3103ADCA">
      <w:pPr>
        <w:spacing w:line="600" w:lineRule="exact"/>
        <w:ind w:firstLine="643" w:firstLineChars="200"/>
        <w:rPr>
          <w:b/>
          <w:color w:val="000000"/>
          <w:kern w:val="0"/>
          <w:szCs w:val="32"/>
        </w:rPr>
      </w:pPr>
    </w:p>
    <w:p w14:paraId="6A65C6EC">
      <w:pPr>
        <w:tabs>
          <w:tab w:val="center" w:pos="4475"/>
        </w:tabs>
        <w:spacing w:line="600" w:lineRule="exact"/>
        <w:jc w:val="center"/>
        <w:rPr>
          <w:rFonts w:eastAsia="黑体"/>
          <w:sz w:val="36"/>
          <w:szCs w:val="36"/>
        </w:rPr>
      </w:pPr>
      <w:r>
        <w:rPr>
          <w:rFonts w:eastAsia="黑体"/>
          <w:sz w:val="36"/>
          <w:szCs w:val="36"/>
        </w:rPr>
        <w:t>第二部分：自治区粮食和物资储备局2025年部门预算情况说明</w:t>
      </w:r>
    </w:p>
    <w:p w14:paraId="3ECCA1CF">
      <w:pPr>
        <w:tabs>
          <w:tab w:val="center" w:pos="4475"/>
        </w:tabs>
        <w:spacing w:line="600" w:lineRule="exact"/>
        <w:ind w:firstLine="645"/>
        <w:rPr>
          <w:rFonts w:eastAsia="黑体"/>
          <w:szCs w:val="32"/>
        </w:rPr>
      </w:pPr>
    </w:p>
    <w:p w14:paraId="07B3F361">
      <w:pPr>
        <w:tabs>
          <w:tab w:val="center" w:pos="4475"/>
        </w:tabs>
        <w:spacing w:line="600" w:lineRule="exact"/>
        <w:ind w:firstLine="645"/>
        <w:rPr>
          <w:rFonts w:eastAsia="黑体"/>
          <w:szCs w:val="32"/>
        </w:rPr>
      </w:pPr>
      <w:r>
        <w:rPr>
          <w:rFonts w:eastAsia="黑体"/>
          <w:szCs w:val="32"/>
        </w:rPr>
        <w:t>一、部门收支增减变化情况说明</w:t>
      </w:r>
    </w:p>
    <w:p w14:paraId="487B4326">
      <w:pPr>
        <w:spacing w:line="580" w:lineRule="exact"/>
        <w:ind w:firstLine="627" w:firstLineChars="196"/>
        <w:rPr>
          <w:rFonts w:eastAsia="黑体"/>
          <w:szCs w:val="32"/>
        </w:rPr>
      </w:pPr>
      <w:r>
        <w:rPr>
          <w:color w:val="000000"/>
          <w:kern w:val="0"/>
          <w:szCs w:val="32"/>
        </w:rPr>
        <w:t>2025年我部门总收入</w:t>
      </w:r>
      <w:r>
        <w:rPr>
          <w:color w:val="000000"/>
          <w:szCs w:val="32"/>
          <w:lang w:bidi="ar"/>
        </w:rPr>
        <w:t>61203.32</w:t>
      </w:r>
      <w:r>
        <w:rPr>
          <w:color w:val="000000"/>
          <w:kern w:val="0"/>
          <w:szCs w:val="32"/>
        </w:rPr>
        <w:t>万元，总支出</w:t>
      </w:r>
      <w:r>
        <w:rPr>
          <w:color w:val="000000"/>
          <w:szCs w:val="32"/>
          <w:lang w:bidi="ar"/>
        </w:rPr>
        <w:t>61203.32</w:t>
      </w:r>
      <w:r>
        <w:rPr>
          <w:color w:val="000000"/>
          <w:kern w:val="0"/>
          <w:szCs w:val="32"/>
        </w:rPr>
        <w:t>万元（不含财政拨款上年未列支结算收支数）。总收入较上年增加1060.64万元，增长1.76%，主要原因是直属两所学院教育资金收入增加。总支出较上年增加1060.64万元，增长1.76%，主要原因是直属两所学院教育资金支出增加。</w:t>
      </w:r>
    </w:p>
    <w:p w14:paraId="26A46827">
      <w:pPr>
        <w:tabs>
          <w:tab w:val="center" w:pos="4475"/>
        </w:tabs>
        <w:spacing w:line="600" w:lineRule="exact"/>
        <w:ind w:firstLine="645"/>
        <w:rPr>
          <w:rFonts w:eastAsia="黑体"/>
          <w:szCs w:val="32"/>
        </w:rPr>
      </w:pPr>
      <w:r>
        <w:rPr>
          <w:rFonts w:eastAsia="黑体"/>
          <w:szCs w:val="32"/>
        </w:rPr>
        <w:t>二、部门收入总体情况说明</w:t>
      </w:r>
    </w:p>
    <w:p w14:paraId="5D0B5E10">
      <w:pPr>
        <w:spacing w:line="600" w:lineRule="exact"/>
        <w:ind w:firstLine="640" w:firstLineChars="200"/>
        <w:rPr>
          <w:color w:val="000000"/>
          <w:kern w:val="0"/>
          <w:szCs w:val="32"/>
        </w:rPr>
      </w:pPr>
      <w:r>
        <w:rPr>
          <w:color w:val="000000"/>
          <w:kern w:val="0"/>
          <w:szCs w:val="32"/>
        </w:rPr>
        <w:t>2025年我部门总收入61203.32万元，较上年增加1060.64万元，增长1.76%，收入增加的原因主要是直属两所学院一般公共预算教育资金收入增加。其中：</w:t>
      </w:r>
    </w:p>
    <w:p w14:paraId="10B3293C">
      <w:pPr>
        <w:spacing w:line="600" w:lineRule="exact"/>
        <w:ind w:firstLine="640" w:firstLineChars="200"/>
        <w:rPr>
          <w:color w:val="000000"/>
          <w:kern w:val="0"/>
          <w:szCs w:val="32"/>
        </w:rPr>
      </w:pPr>
      <w:r>
        <w:rPr>
          <w:color w:val="000000"/>
          <w:kern w:val="0"/>
          <w:szCs w:val="32"/>
        </w:rPr>
        <w:t>1.一般公共预算拨款37820.25万元，占总收入比重61.79%，较上年增加1794.87万元，增长4.98%，主要是直属两所学院教育资金增加。</w:t>
      </w:r>
    </w:p>
    <w:p w14:paraId="3572EF73">
      <w:pPr>
        <w:spacing w:line="600" w:lineRule="exact"/>
        <w:ind w:firstLine="640" w:firstLineChars="200"/>
        <w:rPr>
          <w:color w:val="000000"/>
          <w:kern w:val="0"/>
          <w:szCs w:val="32"/>
        </w:rPr>
      </w:pPr>
      <w:r>
        <w:rPr>
          <w:color w:val="000000"/>
          <w:kern w:val="0"/>
          <w:szCs w:val="32"/>
        </w:rPr>
        <w:t>2.政府性基金预算拨款为0，与上年一致。</w:t>
      </w:r>
    </w:p>
    <w:p w14:paraId="18FBB2E6">
      <w:pPr>
        <w:spacing w:line="600" w:lineRule="exact"/>
        <w:ind w:firstLine="640" w:firstLineChars="200"/>
        <w:rPr>
          <w:color w:val="000000"/>
          <w:kern w:val="0"/>
          <w:szCs w:val="32"/>
        </w:rPr>
      </w:pPr>
      <w:r>
        <w:rPr>
          <w:color w:val="000000"/>
          <w:kern w:val="0"/>
          <w:szCs w:val="32"/>
        </w:rPr>
        <w:t>3.国有资本经营预算拨款为0，与上年一致。</w:t>
      </w:r>
    </w:p>
    <w:p w14:paraId="07B05CA9">
      <w:pPr>
        <w:spacing w:line="600" w:lineRule="exact"/>
        <w:ind w:firstLine="640" w:firstLineChars="200"/>
        <w:rPr>
          <w:color w:val="000000"/>
          <w:kern w:val="0"/>
          <w:szCs w:val="32"/>
        </w:rPr>
      </w:pPr>
      <w:r>
        <w:rPr>
          <w:color w:val="000000"/>
          <w:kern w:val="0"/>
          <w:szCs w:val="32"/>
        </w:rPr>
        <w:t>4.财政专户管理资金收入20676.02万元，占总收入比重33.78%，较上年减少1919.25万元，下降8.49%。</w:t>
      </w:r>
      <w:r>
        <w:rPr>
          <w:color w:val="000000"/>
          <w:kern w:val="0"/>
          <w:szCs w:val="32"/>
          <w:lang w:bidi="ar"/>
        </w:rPr>
        <w:t>主要原因为两所学校教育收费收入减少。</w:t>
      </w:r>
    </w:p>
    <w:p w14:paraId="471B7627">
      <w:pPr>
        <w:spacing w:line="600" w:lineRule="exact"/>
        <w:ind w:firstLine="640" w:firstLineChars="200"/>
        <w:rPr>
          <w:color w:val="000000"/>
          <w:kern w:val="0"/>
          <w:szCs w:val="32"/>
        </w:rPr>
      </w:pPr>
      <w:r>
        <w:rPr>
          <w:color w:val="000000"/>
          <w:kern w:val="0"/>
          <w:szCs w:val="32"/>
        </w:rPr>
        <w:t>5.单位资金1707.06万元，占总收入比重2.79%，较上年增加185.02万元，增长12.16%，主要是自治区粮油质量检验中心检验费收入增加。包括事业收入1560.36万元、其他收入146.70万元。</w:t>
      </w:r>
    </w:p>
    <w:p w14:paraId="7DF5B504">
      <w:pPr>
        <w:spacing w:line="600" w:lineRule="exact"/>
        <w:ind w:firstLine="640" w:firstLineChars="200"/>
        <w:rPr>
          <w:color w:val="000000"/>
          <w:kern w:val="0"/>
          <w:szCs w:val="32"/>
        </w:rPr>
      </w:pPr>
      <w:r>
        <w:rPr>
          <w:color w:val="000000"/>
          <w:kern w:val="0"/>
          <w:szCs w:val="32"/>
        </w:rPr>
        <w:t>6.历年</w:t>
      </w:r>
      <w:r>
        <w:rPr>
          <w:color w:val="000000"/>
          <w:spacing w:val="-6"/>
          <w:szCs w:val="32"/>
          <w:lang w:bidi="ar"/>
        </w:rPr>
        <w:t>结转结余1000万元，</w:t>
      </w:r>
      <w:r>
        <w:rPr>
          <w:color w:val="000000"/>
          <w:kern w:val="0"/>
          <w:szCs w:val="32"/>
        </w:rPr>
        <w:t>占总收入比重1.63%，</w:t>
      </w:r>
      <w:r>
        <w:rPr>
          <w:color w:val="000000"/>
          <w:spacing w:val="-6"/>
          <w:szCs w:val="32"/>
          <w:lang w:bidi="ar"/>
        </w:rPr>
        <w:t>同比增加1000万元，增长100</w:t>
      </w:r>
      <w:r>
        <w:rPr>
          <w:color w:val="000000"/>
          <w:szCs w:val="32"/>
          <w:lang w:bidi="ar"/>
        </w:rPr>
        <w:t>％。主要原因为自治区粮油质检中心安排单位自有结余资金1000万元用于购置技术业务用房装修工程支出。</w:t>
      </w:r>
    </w:p>
    <w:p w14:paraId="5EFE210C">
      <w:pPr>
        <w:tabs>
          <w:tab w:val="center" w:pos="4475"/>
        </w:tabs>
        <w:spacing w:line="600" w:lineRule="exact"/>
        <w:ind w:firstLine="645"/>
        <w:rPr>
          <w:rFonts w:eastAsia="黑体"/>
          <w:szCs w:val="32"/>
        </w:rPr>
      </w:pPr>
      <w:r>
        <w:rPr>
          <w:rFonts w:eastAsia="黑体"/>
          <w:szCs w:val="32"/>
        </w:rPr>
        <w:t>三、部门支出总体情况说明</w:t>
      </w:r>
    </w:p>
    <w:p w14:paraId="016E54F4">
      <w:pPr>
        <w:spacing w:line="580" w:lineRule="exact"/>
        <w:ind w:firstLine="627" w:firstLineChars="196"/>
        <w:rPr>
          <w:rFonts w:eastAsia="黑体"/>
          <w:szCs w:val="32"/>
        </w:rPr>
      </w:pPr>
      <w:r>
        <w:rPr>
          <w:color w:val="000000"/>
          <w:kern w:val="0"/>
          <w:szCs w:val="32"/>
        </w:rPr>
        <w:t>2025年我部门总支出61203.32万元，较上年增加1060.64万元，增长1.76%，主要原因是直属两所学院教育资金支出增加。</w:t>
      </w:r>
    </w:p>
    <w:p w14:paraId="36F58C5B">
      <w:pPr>
        <w:autoSpaceDE w:val="0"/>
        <w:autoSpaceDN w:val="0"/>
        <w:adjustRightInd w:val="0"/>
        <w:spacing w:line="600" w:lineRule="exact"/>
        <w:ind w:firstLine="640" w:firstLineChars="200"/>
        <w:rPr>
          <w:rFonts w:eastAsia="楷体"/>
          <w:color w:val="000000"/>
          <w:kern w:val="0"/>
          <w:szCs w:val="32"/>
        </w:rPr>
      </w:pPr>
      <w:r>
        <w:rPr>
          <w:rFonts w:eastAsia="楷体"/>
          <w:color w:val="000000"/>
          <w:kern w:val="0"/>
          <w:szCs w:val="32"/>
        </w:rPr>
        <w:t>（一）按支出功能分类科目划分，共分为 5类。</w:t>
      </w:r>
    </w:p>
    <w:p w14:paraId="09C4E3C0">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1.教育支出类科目支出48707.36万元，占本年支出预算79.58％，同比增加767.03万元，增长1.6％。主要原因是直属两所学院教育资金增加。</w:t>
      </w:r>
    </w:p>
    <w:p w14:paraId="51E8C709">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2.社会保障和就业支出类科目支出1489.7万元，占本年支出预算2.43％，同比增加336.91万元，增长29.23％。</w:t>
      </w:r>
    </w:p>
    <w:p w14:paraId="0DFB2C95">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3.卫生健康支出类科目支出364.12万元，占本年支出预算0.59％，同比增加65.64万元，增长21.99％。</w:t>
      </w:r>
    </w:p>
    <w:p w14:paraId="6E23874B">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4.住房保障支出类科目支出575.1万元，占本年支出预算0.94％，同比增加106.28万元，增长22.67％。</w:t>
      </w:r>
    </w:p>
    <w:p w14:paraId="1620CFD0">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pacing w:val="-4"/>
          <w:sz w:val="32"/>
          <w:szCs w:val="32"/>
        </w:rPr>
      </w:pPr>
      <w:r>
        <w:rPr>
          <w:rFonts w:ascii="Times New Roman" w:hAnsi="Times New Roman" w:eastAsia="仿宋_GB2312" w:cs="Times New Roman"/>
          <w:color w:val="000000"/>
          <w:spacing w:val="-4"/>
          <w:sz w:val="32"/>
          <w:szCs w:val="32"/>
          <w:lang w:bidi="ar"/>
        </w:rPr>
        <w:t>5.粮油物资储备支出类科目支出10067.04万元，占本年支出预算16.45％，同比减少215.22万元，下降2.09％。主要原因是厉行节约，落实过紧日子要求，压缩经费，进一步优化支出结构。</w:t>
      </w:r>
    </w:p>
    <w:p w14:paraId="0CE7F378">
      <w:pPr>
        <w:autoSpaceDE w:val="0"/>
        <w:autoSpaceDN w:val="0"/>
        <w:adjustRightInd w:val="0"/>
        <w:spacing w:line="600" w:lineRule="exact"/>
        <w:ind w:firstLine="640" w:firstLineChars="200"/>
        <w:rPr>
          <w:rFonts w:eastAsia="楷体"/>
          <w:color w:val="000000"/>
          <w:kern w:val="0"/>
          <w:szCs w:val="32"/>
        </w:rPr>
      </w:pPr>
      <w:r>
        <w:rPr>
          <w:rFonts w:eastAsia="楷体"/>
          <w:color w:val="000000"/>
          <w:kern w:val="0"/>
          <w:szCs w:val="32"/>
        </w:rPr>
        <w:t>（二）按支出结构分类划分，分为基本支出和项目支出预算。</w:t>
      </w:r>
    </w:p>
    <w:p w14:paraId="269EAD6E">
      <w:pPr>
        <w:autoSpaceDE w:val="0"/>
        <w:autoSpaceDN w:val="0"/>
        <w:adjustRightInd w:val="0"/>
        <w:spacing w:line="630" w:lineRule="exact"/>
        <w:ind w:firstLine="640" w:firstLineChars="200"/>
        <w:rPr>
          <w:color w:val="000000"/>
          <w:kern w:val="0"/>
          <w:szCs w:val="32"/>
        </w:rPr>
      </w:pPr>
      <w:r>
        <w:rPr>
          <w:color w:val="000000"/>
          <w:kern w:val="0"/>
          <w:szCs w:val="32"/>
        </w:rPr>
        <w:t>1.基本支出预算。</w:t>
      </w:r>
    </w:p>
    <w:p w14:paraId="648ED35C">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基本支出预算29328.01万元，占本年支出预算47.92％，同比增加1740.67万元，增长6.31％。其中：</w:t>
      </w:r>
    </w:p>
    <w:p w14:paraId="5BF69F1B">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人员经费预算22079.61万元，占基本支出预算75.29％，同比增加843.45万元，增长3.97％。其中：工资福利支出预算21092.76万元，占基本支出预算71.92％，同比增加829.65万元，增长4.09％；对个人和家庭的补助预算986.85万元，占基本支出预算3.36％，同比增加13.8万元，增长1.42％。</w:t>
      </w:r>
    </w:p>
    <w:p w14:paraId="64862AEB">
      <w:pPr>
        <w:autoSpaceDE w:val="0"/>
        <w:autoSpaceDN w:val="0"/>
        <w:adjustRightInd w:val="0"/>
        <w:spacing w:line="570" w:lineRule="exact"/>
        <w:ind w:firstLine="640" w:firstLineChars="200"/>
        <w:rPr>
          <w:color w:val="000000"/>
          <w:kern w:val="0"/>
          <w:szCs w:val="32"/>
        </w:rPr>
      </w:pPr>
      <w:r>
        <w:rPr>
          <w:color w:val="000000"/>
          <w:szCs w:val="32"/>
          <w:lang w:bidi="ar"/>
        </w:rPr>
        <w:t>公用经费（商品和服务支出）预算7248.4万元，</w:t>
      </w:r>
      <w:r>
        <w:rPr>
          <w:color w:val="000000"/>
          <w:kern w:val="0"/>
          <w:szCs w:val="32"/>
          <w:lang w:bidi="ar"/>
        </w:rPr>
        <w:t>基本支出增加的原因主要是直属两所学院人员增加。</w:t>
      </w:r>
    </w:p>
    <w:p w14:paraId="32618961">
      <w:pPr>
        <w:autoSpaceDE w:val="0"/>
        <w:autoSpaceDN w:val="0"/>
        <w:adjustRightInd w:val="0"/>
        <w:spacing w:line="630" w:lineRule="exact"/>
        <w:ind w:firstLine="640" w:firstLineChars="200"/>
        <w:rPr>
          <w:color w:val="000000"/>
          <w:kern w:val="0"/>
          <w:szCs w:val="32"/>
        </w:rPr>
      </w:pPr>
      <w:r>
        <w:rPr>
          <w:color w:val="000000"/>
          <w:kern w:val="0"/>
          <w:szCs w:val="32"/>
        </w:rPr>
        <w:t>2.项目支出预算。</w:t>
      </w:r>
    </w:p>
    <w:p w14:paraId="4F15B001">
      <w:pPr>
        <w:pStyle w:val="8"/>
        <w:widowControl w:val="0"/>
        <w:adjustRightInd w:val="0"/>
        <w:snapToGrid w:val="0"/>
        <w:spacing w:before="0" w:beforeAutospacing="0" w:after="0" w:afterAutospacing="0" w:line="570" w:lineRule="exact"/>
        <w:ind w:firstLine="66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项目支出预算31875.31万元，占本年支出预算52.08％，同比减少680.03万元，下降2.09％。</w:t>
      </w:r>
    </w:p>
    <w:p w14:paraId="316C174C">
      <w:pPr>
        <w:autoSpaceDE w:val="0"/>
        <w:autoSpaceDN w:val="0"/>
        <w:adjustRightInd w:val="0"/>
        <w:spacing w:line="570" w:lineRule="exact"/>
        <w:ind w:firstLine="640" w:firstLineChars="200"/>
        <w:rPr>
          <w:color w:val="000000"/>
          <w:kern w:val="0"/>
          <w:szCs w:val="32"/>
        </w:rPr>
      </w:pPr>
      <w:r>
        <w:rPr>
          <w:color w:val="000000"/>
          <w:kern w:val="0"/>
          <w:szCs w:val="32"/>
          <w:lang w:bidi="ar"/>
        </w:rPr>
        <w:t>项目支出减少的原因主要是局本级例行节约，大力压缩支出，项目支出额减少。</w:t>
      </w:r>
    </w:p>
    <w:p w14:paraId="523383DF">
      <w:pPr>
        <w:tabs>
          <w:tab w:val="center" w:pos="4475"/>
        </w:tabs>
        <w:spacing w:line="600" w:lineRule="exact"/>
        <w:ind w:firstLine="645"/>
        <w:rPr>
          <w:rFonts w:eastAsia="黑体"/>
          <w:szCs w:val="32"/>
        </w:rPr>
      </w:pPr>
      <w:r>
        <w:rPr>
          <w:rFonts w:eastAsia="黑体"/>
          <w:szCs w:val="32"/>
        </w:rPr>
        <w:t>四、政府性基金预算支出情况说明</w:t>
      </w:r>
    </w:p>
    <w:p w14:paraId="397B421D">
      <w:pPr>
        <w:tabs>
          <w:tab w:val="right" w:leader="middleDot" w:pos="9030"/>
        </w:tabs>
        <w:autoSpaceDE w:val="0"/>
        <w:autoSpaceDN w:val="0"/>
        <w:adjustRightInd w:val="0"/>
        <w:spacing w:line="630" w:lineRule="exact"/>
        <w:ind w:firstLine="640" w:firstLineChars="200"/>
        <w:rPr>
          <w:color w:val="000000"/>
          <w:kern w:val="0"/>
          <w:szCs w:val="32"/>
        </w:rPr>
      </w:pPr>
      <w:r>
        <w:rPr>
          <w:color w:val="000000"/>
          <w:kern w:val="0"/>
          <w:szCs w:val="32"/>
        </w:rPr>
        <w:t>我部门202</w:t>
      </w:r>
      <w:r>
        <w:rPr>
          <w:rFonts w:hint="eastAsia"/>
          <w:color w:val="000000"/>
          <w:kern w:val="0"/>
          <w:szCs w:val="32"/>
        </w:rPr>
        <w:t>5</w:t>
      </w:r>
      <w:r>
        <w:rPr>
          <w:color w:val="000000"/>
          <w:kern w:val="0"/>
          <w:szCs w:val="32"/>
        </w:rPr>
        <w:t>年部门预算无政府性基金预算。</w:t>
      </w:r>
    </w:p>
    <w:p w14:paraId="2724FDC0">
      <w:pPr>
        <w:tabs>
          <w:tab w:val="center" w:pos="4475"/>
        </w:tabs>
        <w:spacing w:line="600" w:lineRule="exact"/>
        <w:ind w:firstLine="645"/>
        <w:rPr>
          <w:rFonts w:eastAsia="黑体"/>
          <w:szCs w:val="32"/>
        </w:rPr>
      </w:pPr>
      <w:r>
        <w:rPr>
          <w:rFonts w:eastAsia="黑体"/>
          <w:szCs w:val="32"/>
        </w:rPr>
        <w:t>五、国有资本经营预算支出情况说明</w:t>
      </w:r>
    </w:p>
    <w:p w14:paraId="6C407AEB">
      <w:pPr>
        <w:tabs>
          <w:tab w:val="center" w:pos="4475"/>
        </w:tabs>
        <w:spacing w:line="600" w:lineRule="exact"/>
        <w:ind w:firstLine="645"/>
        <w:rPr>
          <w:szCs w:val="32"/>
        </w:rPr>
      </w:pPr>
      <w:r>
        <w:rPr>
          <w:szCs w:val="32"/>
        </w:rPr>
        <w:t>我部门202</w:t>
      </w:r>
      <w:r>
        <w:rPr>
          <w:rFonts w:hint="eastAsia"/>
          <w:szCs w:val="32"/>
        </w:rPr>
        <w:t>5</w:t>
      </w:r>
      <w:r>
        <w:rPr>
          <w:szCs w:val="32"/>
        </w:rPr>
        <w:t>年部门预算无国有资本经营预算。</w:t>
      </w:r>
    </w:p>
    <w:p w14:paraId="7B14A805">
      <w:pPr>
        <w:tabs>
          <w:tab w:val="center" w:pos="4475"/>
        </w:tabs>
        <w:spacing w:line="600" w:lineRule="exact"/>
        <w:ind w:firstLine="645"/>
        <w:rPr>
          <w:rFonts w:eastAsia="黑体"/>
          <w:szCs w:val="32"/>
        </w:rPr>
      </w:pPr>
      <w:r>
        <w:rPr>
          <w:rFonts w:eastAsia="黑体"/>
          <w:szCs w:val="32"/>
        </w:rPr>
        <w:t>六、一般公共预算“三公”经费支出情况说明</w:t>
      </w:r>
    </w:p>
    <w:p w14:paraId="0DE00407">
      <w:pPr>
        <w:tabs>
          <w:tab w:val="center" w:pos="4475"/>
        </w:tabs>
        <w:spacing w:line="600" w:lineRule="exact"/>
        <w:ind w:firstLine="645"/>
        <w:rPr>
          <w:szCs w:val="32"/>
        </w:rPr>
      </w:pPr>
      <w:r>
        <w:t>我部门2025年一般公共预算</w:t>
      </w:r>
      <w:r>
        <w:rPr>
          <w:bCs/>
        </w:rPr>
        <w:t>安排的“三公”经费支出预算212.33万元，同口径比2023年减少75.45万元，下降26.22%，具体如下：</w:t>
      </w:r>
    </w:p>
    <w:p w14:paraId="151F72C4">
      <w:pPr>
        <w:tabs>
          <w:tab w:val="center" w:pos="4475"/>
        </w:tabs>
        <w:spacing w:line="600" w:lineRule="exact"/>
        <w:ind w:firstLine="645"/>
        <w:rPr>
          <w:kern w:val="0"/>
          <w:highlight w:val="none"/>
        </w:rPr>
      </w:pPr>
      <w:r>
        <w:rPr>
          <w:highlight w:val="none"/>
        </w:rPr>
        <w:t>1.因公出国（境）费</w:t>
      </w:r>
      <w:r>
        <w:rPr>
          <w:szCs w:val="32"/>
          <w:highlight w:val="none"/>
        </w:rPr>
        <w:t>2025年预算安排8万元，比上年减少7万</w:t>
      </w:r>
      <w:r>
        <w:rPr>
          <w:color w:val="auto"/>
          <w:szCs w:val="32"/>
          <w:highlight w:val="none"/>
        </w:rPr>
        <w:t>元</w:t>
      </w:r>
      <w:r>
        <w:rPr>
          <w:rFonts w:hint="eastAsia"/>
          <w:color w:val="auto"/>
          <w:szCs w:val="32"/>
          <w:highlight w:val="none"/>
          <w:lang w:eastAsia="zh-CN"/>
        </w:rPr>
        <w:t>，</w:t>
      </w:r>
      <w:r>
        <w:rPr>
          <w:rFonts w:hint="eastAsia"/>
          <w:color w:val="auto"/>
          <w:szCs w:val="32"/>
          <w:highlight w:val="none"/>
        </w:rPr>
        <w:t>下降</w:t>
      </w:r>
      <w:r>
        <w:rPr>
          <w:rFonts w:hint="eastAsia"/>
          <w:color w:val="auto"/>
          <w:szCs w:val="32"/>
          <w:highlight w:val="none"/>
          <w:lang w:val="en-US" w:eastAsia="zh-CN"/>
        </w:rPr>
        <w:t>46.67</w:t>
      </w:r>
      <w:r>
        <w:rPr>
          <w:rFonts w:hint="eastAsia"/>
          <w:color w:val="auto"/>
          <w:szCs w:val="32"/>
          <w:highlight w:val="none"/>
        </w:rPr>
        <w:t>%</w:t>
      </w:r>
      <w:r>
        <w:rPr>
          <w:color w:val="auto"/>
          <w:szCs w:val="32"/>
          <w:highlight w:val="none"/>
        </w:rPr>
        <w:t>。</w:t>
      </w:r>
      <w:r>
        <w:rPr>
          <w:color w:val="000000"/>
          <w:szCs w:val="32"/>
          <w:highlight w:val="none"/>
        </w:rPr>
        <w:t>减少的主要原因为为进一步加强例行节约，</w:t>
      </w:r>
      <w:r>
        <w:rPr>
          <w:color w:val="000000"/>
          <w:szCs w:val="32"/>
          <w:highlight w:val="none"/>
          <w:lang w:bidi="ar"/>
        </w:rPr>
        <w:t>预计我局领导参加自治区政府和国家粮食和物资储备局组团的国外考察减少</w:t>
      </w:r>
      <w:r>
        <w:rPr>
          <w:color w:val="000000"/>
          <w:szCs w:val="32"/>
          <w:highlight w:val="none"/>
        </w:rPr>
        <w:t>。</w:t>
      </w:r>
    </w:p>
    <w:p w14:paraId="69F4C951">
      <w:pPr>
        <w:spacing w:line="580" w:lineRule="exact"/>
        <w:ind w:firstLine="627" w:firstLineChars="196"/>
        <w:rPr>
          <w:color w:val="000000"/>
          <w:szCs w:val="32"/>
        </w:rPr>
      </w:pPr>
      <w:r>
        <w:t>2.公务用车购置及运行费2025年预算安排34.39万元，比上年减少51.44万元，下降59.93%</w:t>
      </w:r>
      <w:r>
        <w:rPr>
          <w:color w:val="000000"/>
          <w:szCs w:val="32"/>
        </w:rPr>
        <w:t>。其中：</w:t>
      </w:r>
    </w:p>
    <w:p w14:paraId="7DAA01E8">
      <w:pPr>
        <w:spacing w:line="580" w:lineRule="exact"/>
        <w:ind w:firstLine="627" w:firstLineChars="196"/>
        <w:rPr>
          <w:color w:val="000000"/>
          <w:szCs w:val="32"/>
        </w:rPr>
      </w:pPr>
      <w:r>
        <w:rPr>
          <w:color w:val="000000"/>
          <w:szCs w:val="32"/>
        </w:rPr>
        <w:t>（1）公务用车购置费2025年预算安排0万元，比上年减少50万元，下降100%，减少的主要原因为2025年无</w:t>
      </w:r>
      <w:r>
        <w:rPr>
          <w:color w:val="000000"/>
          <w:szCs w:val="32"/>
          <w:lang w:bidi="ar"/>
        </w:rPr>
        <w:t>公车购置计划</w:t>
      </w:r>
      <w:r>
        <w:rPr>
          <w:color w:val="000000"/>
          <w:szCs w:val="32"/>
        </w:rPr>
        <w:t>。</w:t>
      </w:r>
    </w:p>
    <w:p w14:paraId="7EDFF0D3">
      <w:pPr>
        <w:spacing w:line="600" w:lineRule="exact"/>
        <w:ind w:firstLine="640" w:firstLineChars="200"/>
        <w:rPr>
          <w:kern w:val="0"/>
        </w:rPr>
      </w:pPr>
      <w:r>
        <w:rPr>
          <w:color w:val="000000"/>
          <w:szCs w:val="32"/>
        </w:rPr>
        <w:t>（2）公务用车</w:t>
      </w:r>
      <w:r>
        <w:t>运行维护费</w:t>
      </w:r>
      <w:r>
        <w:rPr>
          <w:szCs w:val="32"/>
        </w:rPr>
        <w:t>2025年预算安排34.39万元，比上年减少1.44万元，下降4.01%。减少的主要原因是</w:t>
      </w:r>
      <w:r>
        <w:rPr>
          <w:color w:val="000000"/>
          <w:szCs w:val="32"/>
        </w:rPr>
        <w:t>局本级及直属事业单位厉行节约，压缩公车出行开支。</w:t>
      </w:r>
    </w:p>
    <w:p w14:paraId="2C28CBA6">
      <w:pPr>
        <w:spacing w:line="600" w:lineRule="exact"/>
        <w:ind w:firstLine="640" w:firstLineChars="200"/>
        <w:rPr>
          <w:color w:val="000000"/>
          <w:szCs w:val="32"/>
        </w:rPr>
      </w:pPr>
      <w:r>
        <w:t>3.公务接待费</w:t>
      </w:r>
      <w:r>
        <w:rPr>
          <w:szCs w:val="32"/>
        </w:rPr>
        <w:t>2025年预算安排7.04万元，比上年减少0.78万元，下降9.96%。</w:t>
      </w:r>
      <w:r>
        <w:rPr>
          <w:kern w:val="0"/>
        </w:rPr>
        <w:t>减少的主要原因是</w:t>
      </w:r>
      <w:r>
        <w:rPr>
          <w:color w:val="000000"/>
          <w:szCs w:val="32"/>
        </w:rPr>
        <w:t>局本级及直属事业单位厉行节约，压缩接待费开支。</w:t>
      </w:r>
    </w:p>
    <w:p w14:paraId="6FED11D6">
      <w:pPr>
        <w:tabs>
          <w:tab w:val="center" w:pos="4475"/>
        </w:tabs>
        <w:spacing w:line="600" w:lineRule="exact"/>
        <w:ind w:firstLine="645"/>
        <w:rPr>
          <w:rFonts w:eastAsia="黑体"/>
          <w:szCs w:val="32"/>
        </w:rPr>
      </w:pPr>
      <w:r>
        <w:rPr>
          <w:rFonts w:eastAsia="黑体"/>
          <w:szCs w:val="32"/>
        </w:rPr>
        <w:t>七、机关</w:t>
      </w:r>
      <w:r>
        <w:rPr>
          <w:rFonts w:hint="eastAsia" w:eastAsia="黑体"/>
          <w:szCs w:val="32"/>
          <w:lang w:eastAsia="zh-CN"/>
        </w:rPr>
        <w:t>事业</w:t>
      </w:r>
      <w:r>
        <w:rPr>
          <w:rFonts w:eastAsia="黑体"/>
          <w:szCs w:val="32"/>
        </w:rPr>
        <w:t>运行经费安排情况说明</w:t>
      </w:r>
    </w:p>
    <w:p w14:paraId="53AD04B8">
      <w:pPr>
        <w:tabs>
          <w:tab w:val="center" w:pos="4475"/>
        </w:tabs>
        <w:spacing w:line="600" w:lineRule="exact"/>
        <w:ind w:firstLine="645"/>
        <w:rPr>
          <w:color w:val="000000"/>
          <w:shd w:val="clear" w:color="auto" w:fill="FFFFFF"/>
        </w:rPr>
      </w:pPr>
      <w:r>
        <w:rPr>
          <w:color w:val="000000"/>
          <w:shd w:val="clear" w:color="auto" w:fill="FFFFFF"/>
        </w:rPr>
        <w:t>我局机关</w:t>
      </w:r>
      <w:r>
        <w:rPr>
          <w:rFonts w:hint="eastAsia"/>
          <w:color w:val="000000"/>
          <w:shd w:val="clear" w:color="auto" w:fill="FFFFFF"/>
          <w:lang w:eastAsia="zh-CN"/>
        </w:rPr>
        <w:t>事业</w:t>
      </w:r>
      <w:r>
        <w:rPr>
          <w:color w:val="000000"/>
          <w:shd w:val="clear" w:color="auto" w:fill="FFFFFF"/>
        </w:rPr>
        <w:t>运行经费主要包括办公费、印刷费、邮电费、差旅费、会议费、福利费、日常维修费、一般设备购置费、办公用房水电费、公务用车运行维护费等日常经费支出，主要用于局本级、局机关服务中心及参公事业单位自治区军粮供应中心为保证日常运行用于购买货物和服务的各项资金。</w:t>
      </w:r>
    </w:p>
    <w:p w14:paraId="7F93653D">
      <w:pPr>
        <w:tabs>
          <w:tab w:val="center" w:pos="4475"/>
        </w:tabs>
        <w:spacing w:line="600" w:lineRule="exact"/>
        <w:ind w:firstLine="645"/>
        <w:rPr>
          <w:color w:val="000000"/>
          <w:shd w:val="clear" w:color="auto" w:fill="FFFFFF"/>
        </w:rPr>
      </w:pPr>
      <w:r>
        <w:rPr>
          <w:color w:val="000000"/>
          <w:shd w:val="clear" w:color="auto" w:fill="FFFFFF"/>
        </w:rPr>
        <w:t>我局2025年机关</w:t>
      </w:r>
      <w:r>
        <w:rPr>
          <w:rFonts w:hint="eastAsia"/>
          <w:color w:val="000000"/>
          <w:shd w:val="clear" w:color="auto" w:fill="FFFFFF"/>
          <w:lang w:eastAsia="zh-CN"/>
        </w:rPr>
        <w:t>事业</w:t>
      </w:r>
      <w:r>
        <w:rPr>
          <w:color w:val="000000"/>
          <w:shd w:val="clear" w:color="auto" w:fill="FFFFFF"/>
        </w:rPr>
        <w:t xml:space="preserve">运行经费预算279.32万元，较上年减少15.45万元，下降5.24%，减少的主要原因是严格落实“过紧日子”要求，例行节约，压缩开支。 </w:t>
      </w:r>
    </w:p>
    <w:p w14:paraId="46630651">
      <w:pPr>
        <w:tabs>
          <w:tab w:val="center" w:pos="4475"/>
        </w:tabs>
        <w:spacing w:line="600" w:lineRule="exact"/>
        <w:ind w:firstLine="645"/>
        <w:rPr>
          <w:rFonts w:eastAsia="黑体"/>
          <w:szCs w:val="32"/>
        </w:rPr>
      </w:pPr>
      <w:r>
        <w:rPr>
          <w:rFonts w:eastAsia="黑体"/>
          <w:szCs w:val="32"/>
        </w:rPr>
        <w:t>八、政府采购预算安排情况说明</w:t>
      </w:r>
    </w:p>
    <w:p w14:paraId="6232F2B8">
      <w:pPr>
        <w:spacing w:line="600" w:lineRule="exact"/>
        <w:ind w:firstLine="624" w:firstLineChars="200"/>
        <w:rPr>
          <w:color w:val="000000"/>
          <w:spacing w:val="-4"/>
          <w:szCs w:val="32"/>
        </w:rPr>
      </w:pPr>
      <w:r>
        <w:rPr>
          <w:color w:val="000000"/>
          <w:spacing w:val="-4"/>
          <w:szCs w:val="32"/>
        </w:rPr>
        <w:t>我部门2025年政府采购预算5824.1万元。其中：货物类采购1928万元、工程类采购1016万元、服务类采购2880.1万元。具体情况如下：</w:t>
      </w:r>
    </w:p>
    <w:p w14:paraId="5530DF65">
      <w:pPr>
        <w:spacing w:line="600" w:lineRule="exact"/>
        <w:ind w:firstLine="640" w:firstLineChars="200"/>
        <w:rPr>
          <w:color w:val="000000"/>
          <w:spacing w:val="-4"/>
          <w:szCs w:val="32"/>
        </w:rPr>
      </w:pPr>
      <w:r>
        <w:rPr>
          <w:color w:val="000000"/>
          <w:szCs w:val="32"/>
          <w:lang w:bidi="ar"/>
        </w:rPr>
        <w:t>2025年政府采购预算5824.1万元，同比增加1655.26万元，增长39.71％；主要原因是局本级增加广西粮食信息综合监管平台运维服务采购300万元、质检中心新增1000万元装修工程采购。</w:t>
      </w:r>
    </w:p>
    <w:p w14:paraId="4CFE8ED7">
      <w:pPr>
        <w:tabs>
          <w:tab w:val="center" w:pos="4475"/>
        </w:tabs>
        <w:spacing w:line="600" w:lineRule="exact"/>
        <w:ind w:firstLine="645"/>
        <w:rPr>
          <w:rFonts w:eastAsia="黑体"/>
          <w:szCs w:val="32"/>
        </w:rPr>
      </w:pPr>
      <w:r>
        <w:rPr>
          <w:rFonts w:eastAsia="黑体"/>
          <w:szCs w:val="32"/>
        </w:rPr>
        <w:t>九、国有资产占用情况说明</w:t>
      </w:r>
    </w:p>
    <w:p w14:paraId="1D093B14">
      <w:pPr>
        <w:autoSpaceDE w:val="0"/>
        <w:autoSpaceDN w:val="0"/>
        <w:adjustRightInd w:val="0"/>
        <w:spacing w:line="600" w:lineRule="exact"/>
        <w:ind w:firstLine="643" w:firstLineChars="200"/>
        <w:rPr>
          <w:b/>
          <w:color w:val="000000"/>
          <w:kern w:val="0"/>
          <w:szCs w:val="32"/>
        </w:rPr>
      </w:pPr>
      <w:r>
        <w:rPr>
          <w:b/>
          <w:color w:val="000000"/>
          <w:kern w:val="0"/>
          <w:szCs w:val="32"/>
        </w:rPr>
        <w:t>1.办公用房情况</w:t>
      </w:r>
    </w:p>
    <w:p w14:paraId="1D93689C">
      <w:pPr>
        <w:autoSpaceDE w:val="0"/>
        <w:autoSpaceDN w:val="0"/>
        <w:adjustRightInd w:val="0"/>
        <w:spacing w:line="600" w:lineRule="exact"/>
        <w:ind w:firstLine="640" w:firstLineChars="200"/>
        <w:rPr>
          <w:color w:val="000000"/>
          <w:kern w:val="0"/>
          <w:szCs w:val="32"/>
        </w:rPr>
      </w:pPr>
      <w:r>
        <w:rPr>
          <w:color w:val="000000"/>
          <w:kern w:val="0"/>
          <w:szCs w:val="32"/>
        </w:rPr>
        <w:t>（1）局本级办公用房面积5954.65平方米，资产原值897.12万元。</w:t>
      </w:r>
    </w:p>
    <w:p w14:paraId="1F1D2056">
      <w:pPr>
        <w:autoSpaceDE w:val="0"/>
        <w:autoSpaceDN w:val="0"/>
        <w:adjustRightInd w:val="0"/>
        <w:spacing w:line="600" w:lineRule="exact"/>
        <w:ind w:firstLine="640" w:firstLineChars="200"/>
        <w:rPr>
          <w:color w:val="000000"/>
          <w:kern w:val="0"/>
          <w:szCs w:val="32"/>
        </w:rPr>
      </w:pPr>
      <w:r>
        <w:rPr>
          <w:color w:val="000000"/>
          <w:kern w:val="0"/>
          <w:szCs w:val="32"/>
        </w:rPr>
        <w:t>（2）服务中心办公用房面积4612.2平方米，资产原值323.58万元。</w:t>
      </w:r>
    </w:p>
    <w:p w14:paraId="35D71D71">
      <w:pPr>
        <w:autoSpaceDE w:val="0"/>
        <w:autoSpaceDN w:val="0"/>
        <w:adjustRightInd w:val="0"/>
        <w:spacing w:line="600" w:lineRule="exact"/>
        <w:ind w:firstLine="640" w:firstLineChars="200"/>
        <w:rPr>
          <w:color w:val="000000"/>
          <w:kern w:val="0"/>
          <w:szCs w:val="32"/>
        </w:rPr>
      </w:pPr>
      <w:r>
        <w:rPr>
          <w:color w:val="000000"/>
          <w:kern w:val="0"/>
          <w:szCs w:val="32"/>
        </w:rPr>
        <w:t>（3）质检中心行政办公用房面积114</w:t>
      </w:r>
      <w:r>
        <w:rPr>
          <w:rFonts w:eastAsia="宋体"/>
          <w:color w:val="000000"/>
          <w:kern w:val="0"/>
          <w:szCs w:val="32"/>
        </w:rPr>
        <w:t>㎡</w:t>
      </w:r>
      <w:r>
        <w:rPr>
          <w:color w:val="000000"/>
          <w:kern w:val="0"/>
          <w:szCs w:val="32"/>
        </w:rPr>
        <w:t>、技术业务用房面积1235</w:t>
      </w:r>
      <w:r>
        <w:rPr>
          <w:rFonts w:eastAsia="宋体"/>
          <w:color w:val="000000"/>
          <w:kern w:val="0"/>
          <w:szCs w:val="32"/>
        </w:rPr>
        <w:t>㎡</w:t>
      </w:r>
      <w:r>
        <w:rPr>
          <w:color w:val="000000"/>
          <w:kern w:val="0"/>
          <w:szCs w:val="32"/>
        </w:rPr>
        <w:t>，资产原值均为0，无产权，由广西壮族自治区南宁粮食储备库有限公司无偿提供场所使用。</w:t>
      </w:r>
    </w:p>
    <w:p w14:paraId="4A7B4F75">
      <w:pPr>
        <w:autoSpaceDE w:val="0"/>
        <w:autoSpaceDN w:val="0"/>
        <w:adjustRightInd w:val="0"/>
        <w:spacing w:line="600" w:lineRule="exact"/>
        <w:ind w:firstLine="640" w:firstLineChars="200"/>
        <w:rPr>
          <w:color w:val="000000"/>
          <w:kern w:val="0"/>
          <w:szCs w:val="32"/>
        </w:rPr>
      </w:pPr>
      <w:r>
        <w:rPr>
          <w:color w:val="000000"/>
          <w:kern w:val="0"/>
          <w:szCs w:val="32"/>
        </w:rPr>
        <w:t>（4）军供中心无办公用房（无房产），与局本级在同一栋楼办公，由局本级提供办公场地。</w:t>
      </w:r>
    </w:p>
    <w:p w14:paraId="77BB5A38">
      <w:pPr>
        <w:autoSpaceDE w:val="0"/>
        <w:autoSpaceDN w:val="0"/>
        <w:adjustRightInd w:val="0"/>
        <w:spacing w:line="600" w:lineRule="exact"/>
        <w:ind w:firstLine="640" w:firstLineChars="200"/>
        <w:rPr>
          <w:rFonts w:hint="eastAsia" w:eastAsia="仿宋_GB2312"/>
          <w:color w:val="000000"/>
          <w:kern w:val="0"/>
          <w:szCs w:val="32"/>
          <w:lang w:eastAsia="zh-CN"/>
        </w:rPr>
      </w:pPr>
      <w:r>
        <w:rPr>
          <w:color w:val="000000"/>
          <w:kern w:val="0"/>
          <w:szCs w:val="32"/>
        </w:rPr>
        <w:t>（5）工商学院办公用房面积44,482.98平方米，资产原值8902.84万元</w:t>
      </w:r>
      <w:r>
        <w:rPr>
          <w:rFonts w:hint="eastAsia"/>
          <w:color w:val="000000"/>
          <w:kern w:val="0"/>
          <w:szCs w:val="32"/>
          <w:lang w:eastAsia="zh-CN"/>
        </w:rPr>
        <w:t>。</w:t>
      </w:r>
    </w:p>
    <w:p w14:paraId="55742B73">
      <w:pPr>
        <w:autoSpaceDE w:val="0"/>
        <w:autoSpaceDN w:val="0"/>
        <w:adjustRightInd w:val="0"/>
        <w:spacing w:line="600" w:lineRule="exact"/>
        <w:ind w:firstLine="640" w:firstLineChars="200"/>
        <w:rPr>
          <w:color w:val="000000"/>
          <w:kern w:val="0"/>
          <w:szCs w:val="32"/>
        </w:rPr>
      </w:pPr>
      <w:r>
        <w:rPr>
          <w:color w:val="000000"/>
          <w:kern w:val="0"/>
          <w:szCs w:val="32"/>
        </w:rPr>
        <w:t>（6）技师学院办公用房面积16,927.02平方米，资产原值4139.7万元。</w:t>
      </w:r>
    </w:p>
    <w:p w14:paraId="1F038FDE">
      <w:pPr>
        <w:autoSpaceDE w:val="0"/>
        <w:autoSpaceDN w:val="0"/>
        <w:adjustRightInd w:val="0"/>
        <w:spacing w:line="600" w:lineRule="exact"/>
        <w:ind w:firstLine="640" w:firstLineChars="200"/>
        <w:rPr>
          <w:color w:val="000000"/>
          <w:kern w:val="0"/>
          <w:szCs w:val="32"/>
        </w:rPr>
      </w:pPr>
      <w:r>
        <w:rPr>
          <w:color w:val="000000"/>
          <w:kern w:val="0"/>
          <w:szCs w:val="32"/>
        </w:rPr>
        <w:t>（7）储备中心房屋面积5762.02平方米，资产原值773.7万元，其中业务用房面积5660平方米，其他用房面积102.02平方米。</w:t>
      </w:r>
    </w:p>
    <w:p w14:paraId="2CDD69B0">
      <w:pPr>
        <w:autoSpaceDE w:val="0"/>
        <w:autoSpaceDN w:val="0"/>
        <w:adjustRightInd w:val="0"/>
        <w:spacing w:line="600" w:lineRule="exact"/>
        <w:ind w:firstLine="643" w:firstLineChars="200"/>
        <w:rPr>
          <w:b/>
          <w:color w:val="000000"/>
          <w:kern w:val="0"/>
          <w:szCs w:val="32"/>
        </w:rPr>
      </w:pPr>
      <w:r>
        <w:rPr>
          <w:b/>
          <w:color w:val="000000"/>
          <w:kern w:val="0"/>
          <w:szCs w:val="32"/>
        </w:rPr>
        <w:t>2.车辆情况</w:t>
      </w:r>
    </w:p>
    <w:p w14:paraId="748DD0FB">
      <w:pPr>
        <w:autoSpaceDE w:val="0"/>
        <w:autoSpaceDN w:val="0"/>
        <w:adjustRightInd w:val="0"/>
        <w:spacing w:line="570" w:lineRule="exact"/>
        <w:ind w:firstLine="640" w:firstLineChars="200"/>
        <w:rPr>
          <w:color w:val="000000"/>
          <w:kern w:val="0"/>
          <w:szCs w:val="32"/>
        </w:rPr>
      </w:pPr>
      <w:r>
        <w:rPr>
          <w:color w:val="000000"/>
          <w:kern w:val="0"/>
          <w:szCs w:val="32"/>
          <w:lang w:bidi="ar"/>
        </w:rPr>
        <w:t>我局机动车编制数35个，定编小汽车实有数17辆，其中领导工作用车1辆、一般公务用车16辆。</w:t>
      </w:r>
    </w:p>
    <w:p w14:paraId="6185DA76">
      <w:pPr>
        <w:autoSpaceDE w:val="0"/>
        <w:autoSpaceDN w:val="0"/>
        <w:adjustRightInd w:val="0"/>
        <w:spacing w:line="570" w:lineRule="exact"/>
        <w:ind w:firstLine="640" w:firstLineChars="200"/>
        <w:rPr>
          <w:color w:val="000000"/>
          <w:kern w:val="0"/>
          <w:szCs w:val="32"/>
        </w:rPr>
      </w:pPr>
      <w:r>
        <w:rPr>
          <w:color w:val="000000"/>
          <w:kern w:val="0"/>
          <w:szCs w:val="32"/>
          <w:lang w:bidi="ar"/>
        </w:rPr>
        <w:t>（1）局本级机动车编制数6个，定编小汽车实有数6辆，其中：领导工作用车1辆，一般公务用车5辆。</w:t>
      </w:r>
    </w:p>
    <w:p w14:paraId="2C15B7EC">
      <w:pPr>
        <w:autoSpaceDE w:val="0"/>
        <w:autoSpaceDN w:val="0"/>
        <w:adjustRightInd w:val="0"/>
        <w:spacing w:line="570" w:lineRule="exact"/>
        <w:ind w:firstLine="640" w:firstLineChars="200"/>
        <w:rPr>
          <w:color w:val="000000"/>
          <w:kern w:val="0"/>
          <w:szCs w:val="32"/>
        </w:rPr>
      </w:pPr>
      <w:r>
        <w:rPr>
          <w:color w:val="000000"/>
          <w:kern w:val="0"/>
          <w:szCs w:val="32"/>
          <w:lang w:bidi="ar"/>
        </w:rPr>
        <w:t>（2）服务中心机动车编制数2个，定编小汽车实有数1辆，其中轿车（公务）1辆。</w:t>
      </w:r>
    </w:p>
    <w:p w14:paraId="1F66D881">
      <w:pPr>
        <w:autoSpaceDE w:val="0"/>
        <w:autoSpaceDN w:val="0"/>
        <w:adjustRightInd w:val="0"/>
        <w:spacing w:line="570" w:lineRule="exact"/>
        <w:ind w:firstLine="640" w:firstLineChars="200"/>
        <w:rPr>
          <w:color w:val="000000"/>
          <w:kern w:val="0"/>
          <w:szCs w:val="32"/>
        </w:rPr>
      </w:pPr>
      <w:r>
        <w:rPr>
          <w:color w:val="000000"/>
          <w:kern w:val="0"/>
          <w:szCs w:val="32"/>
          <w:lang w:bidi="ar"/>
        </w:rPr>
        <w:t>（3）质检中心机动车编制数3个，定编小汽车实有数1辆，其中轿车（公务）1辆。</w:t>
      </w:r>
    </w:p>
    <w:p w14:paraId="7F211E4E">
      <w:pPr>
        <w:autoSpaceDE w:val="0"/>
        <w:autoSpaceDN w:val="0"/>
        <w:adjustRightInd w:val="0"/>
        <w:spacing w:line="570" w:lineRule="exact"/>
        <w:ind w:firstLine="640" w:firstLineChars="200"/>
        <w:rPr>
          <w:color w:val="000000"/>
          <w:kern w:val="0"/>
          <w:szCs w:val="32"/>
        </w:rPr>
      </w:pPr>
      <w:r>
        <w:rPr>
          <w:color w:val="000000"/>
          <w:kern w:val="0"/>
          <w:szCs w:val="32"/>
          <w:lang w:bidi="ar"/>
        </w:rPr>
        <w:t>（4）军供中心机动车编制数2个，无实有车辆。</w:t>
      </w:r>
    </w:p>
    <w:p w14:paraId="6B4DD882">
      <w:pPr>
        <w:autoSpaceDE w:val="0"/>
        <w:autoSpaceDN w:val="0"/>
        <w:adjustRightInd w:val="0"/>
        <w:spacing w:line="570" w:lineRule="exact"/>
        <w:ind w:firstLine="640" w:firstLineChars="200"/>
        <w:rPr>
          <w:color w:val="000000"/>
          <w:kern w:val="0"/>
          <w:szCs w:val="32"/>
        </w:rPr>
      </w:pPr>
      <w:r>
        <w:rPr>
          <w:color w:val="000000"/>
          <w:kern w:val="0"/>
          <w:szCs w:val="32"/>
          <w:lang w:bidi="ar"/>
        </w:rPr>
        <w:t>（5）工商学院机动车编制数13个，定编小汽车实有数4辆，其中轿车（公务）3辆。</w:t>
      </w:r>
    </w:p>
    <w:p w14:paraId="542148DE">
      <w:pPr>
        <w:autoSpaceDE w:val="0"/>
        <w:autoSpaceDN w:val="0"/>
        <w:adjustRightInd w:val="0"/>
        <w:spacing w:line="570" w:lineRule="exact"/>
        <w:ind w:firstLine="640" w:firstLineChars="200"/>
        <w:rPr>
          <w:color w:val="000000"/>
          <w:kern w:val="0"/>
          <w:szCs w:val="32"/>
        </w:rPr>
      </w:pPr>
      <w:r>
        <w:rPr>
          <w:color w:val="000000"/>
          <w:kern w:val="0"/>
          <w:szCs w:val="32"/>
          <w:lang w:bidi="ar"/>
        </w:rPr>
        <w:t>（6）技师学院机动车编制数6个，定编小汽车实有数2辆，其中轿车（公务）1辆，经济型车（公务）1辆。</w:t>
      </w:r>
    </w:p>
    <w:p w14:paraId="6218D6C5">
      <w:pPr>
        <w:autoSpaceDE w:val="0"/>
        <w:autoSpaceDN w:val="0"/>
        <w:adjustRightInd w:val="0"/>
        <w:spacing w:line="570" w:lineRule="exact"/>
        <w:ind w:firstLine="640" w:firstLineChars="200"/>
        <w:rPr>
          <w:color w:val="000000"/>
          <w:kern w:val="0"/>
          <w:szCs w:val="32"/>
        </w:rPr>
      </w:pPr>
      <w:r>
        <w:rPr>
          <w:color w:val="000000"/>
          <w:kern w:val="0"/>
          <w:szCs w:val="32"/>
          <w:lang w:bidi="ar"/>
        </w:rPr>
        <w:t>（7）储备中心机动车编制数3个，定编小汽车实有数3辆，其中一般业务用车3辆。</w:t>
      </w:r>
    </w:p>
    <w:p w14:paraId="5B85B358">
      <w:pPr>
        <w:tabs>
          <w:tab w:val="center" w:pos="4475"/>
        </w:tabs>
        <w:spacing w:line="600" w:lineRule="exact"/>
        <w:ind w:firstLine="645"/>
        <w:rPr>
          <w:rFonts w:eastAsia="黑体"/>
          <w:szCs w:val="32"/>
        </w:rPr>
      </w:pPr>
      <w:r>
        <w:rPr>
          <w:rFonts w:eastAsia="黑体"/>
          <w:szCs w:val="32"/>
        </w:rPr>
        <w:t>（十、预算绩效目标情况说明</w:t>
      </w:r>
    </w:p>
    <w:p w14:paraId="521D5C5A">
      <w:pPr>
        <w:tabs>
          <w:tab w:val="center" w:pos="4475"/>
        </w:tabs>
        <w:spacing w:line="600" w:lineRule="exact"/>
        <w:ind w:firstLine="645"/>
        <w:rPr>
          <w:color w:val="000000"/>
          <w:shd w:val="clear" w:color="auto" w:fill="FFFFFF"/>
        </w:rPr>
      </w:pPr>
      <w:r>
        <w:rPr>
          <w:color w:val="000000"/>
          <w:shd w:val="clear" w:color="auto" w:fill="FFFFFF"/>
        </w:rPr>
        <w:t>（一）我部门2025年部门预算所有项目支出全面实施绩效目标管理，涉及自治区本级项目107个，预算资金31875.31万元；对下转移支付项目2个，预算资金1730万元。绩效目标情况详见报表（日常运转类项目、工资类人员经费项目和涉密项目除外）。</w:t>
      </w:r>
    </w:p>
    <w:p w14:paraId="2BC7404F">
      <w:pPr>
        <w:tabs>
          <w:tab w:val="center" w:pos="4475"/>
        </w:tabs>
        <w:spacing w:line="600" w:lineRule="exact"/>
        <w:ind w:firstLine="645"/>
        <w:rPr>
          <w:color w:val="000000"/>
          <w:shd w:val="clear" w:color="auto" w:fill="FFFFFF"/>
        </w:rPr>
      </w:pPr>
      <w:r>
        <w:rPr>
          <w:color w:val="000000"/>
          <w:shd w:val="clear" w:color="auto" w:fill="FFFFFF"/>
        </w:rPr>
        <w:t>（二）重点项目预算绩效目标说明。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4419"/>
      </w:tblGrid>
      <w:tr w14:paraId="0666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4E5AFFF1">
            <w:pPr>
              <w:tabs>
                <w:tab w:val="center" w:pos="4475"/>
              </w:tabs>
              <w:spacing w:line="500" w:lineRule="exact"/>
              <w:jc w:val="center"/>
              <w:rPr>
                <w:color w:val="000000"/>
                <w:shd w:val="clear" w:color="auto" w:fill="FFFFFF"/>
              </w:rPr>
            </w:pPr>
            <w:r>
              <w:rPr>
                <w:color w:val="000000"/>
                <w:shd w:val="clear" w:color="auto" w:fill="FFFFFF"/>
              </w:rPr>
              <w:t>项目名称</w:t>
            </w:r>
          </w:p>
        </w:tc>
        <w:tc>
          <w:tcPr>
            <w:tcW w:w="2310" w:type="dxa"/>
            <w:vAlign w:val="center"/>
          </w:tcPr>
          <w:p w14:paraId="58E01E7D">
            <w:pPr>
              <w:tabs>
                <w:tab w:val="center" w:pos="4475"/>
              </w:tabs>
              <w:spacing w:line="500" w:lineRule="exact"/>
              <w:jc w:val="center"/>
              <w:rPr>
                <w:color w:val="000000"/>
                <w:shd w:val="clear" w:color="auto" w:fill="FFFFFF"/>
              </w:rPr>
            </w:pPr>
            <w:r>
              <w:rPr>
                <w:color w:val="000000"/>
                <w:shd w:val="clear" w:color="auto" w:fill="FFFFFF"/>
              </w:rPr>
              <w:t>预算数（万元）</w:t>
            </w:r>
          </w:p>
        </w:tc>
        <w:tc>
          <w:tcPr>
            <w:tcW w:w="4419" w:type="dxa"/>
            <w:vAlign w:val="center"/>
          </w:tcPr>
          <w:p w14:paraId="3331B72D">
            <w:pPr>
              <w:tabs>
                <w:tab w:val="center" w:pos="4475"/>
              </w:tabs>
              <w:spacing w:line="500" w:lineRule="exact"/>
              <w:jc w:val="center"/>
              <w:rPr>
                <w:color w:val="000000"/>
                <w:shd w:val="clear" w:color="auto" w:fill="FFFFFF"/>
              </w:rPr>
            </w:pPr>
            <w:r>
              <w:rPr>
                <w:color w:val="000000"/>
                <w:shd w:val="clear" w:color="auto" w:fill="FFFFFF"/>
              </w:rPr>
              <w:t>绩效目标</w:t>
            </w:r>
          </w:p>
        </w:tc>
      </w:tr>
      <w:tr w14:paraId="26F4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60E95FB0">
            <w:pPr>
              <w:tabs>
                <w:tab w:val="center" w:pos="4475"/>
              </w:tabs>
              <w:spacing w:line="500" w:lineRule="exact"/>
              <w:rPr>
                <w:color w:val="000000"/>
                <w:shd w:val="clear" w:color="auto" w:fill="FFFFFF"/>
              </w:rPr>
            </w:pPr>
            <w:r>
              <w:rPr>
                <w:color w:val="000000"/>
                <w:shd w:val="clear" w:color="auto" w:fill="FFFFFF"/>
              </w:rPr>
              <w:t>粮食流通和质量安全监管专项经费</w:t>
            </w:r>
          </w:p>
        </w:tc>
        <w:tc>
          <w:tcPr>
            <w:tcW w:w="2310" w:type="dxa"/>
            <w:vAlign w:val="center"/>
          </w:tcPr>
          <w:p w14:paraId="313003D2">
            <w:pPr>
              <w:tabs>
                <w:tab w:val="center" w:pos="4475"/>
              </w:tabs>
              <w:spacing w:line="500" w:lineRule="exact"/>
              <w:jc w:val="center"/>
              <w:rPr>
                <w:color w:val="000000"/>
                <w:shd w:val="clear" w:color="auto" w:fill="FFFFFF"/>
              </w:rPr>
            </w:pPr>
            <w:r>
              <w:rPr>
                <w:color w:val="000000"/>
                <w:shd w:val="clear" w:color="auto" w:fill="FFFFFF"/>
              </w:rPr>
              <w:t>802.9</w:t>
            </w:r>
          </w:p>
        </w:tc>
        <w:tc>
          <w:tcPr>
            <w:tcW w:w="4419" w:type="dxa"/>
            <w:vAlign w:val="center"/>
          </w:tcPr>
          <w:p w14:paraId="073ABE45">
            <w:pPr>
              <w:tabs>
                <w:tab w:val="center" w:pos="4475"/>
              </w:tabs>
              <w:spacing w:line="500" w:lineRule="exact"/>
              <w:rPr>
                <w:color w:val="000000"/>
                <w:shd w:val="clear" w:color="auto" w:fill="FFFFFF"/>
              </w:rPr>
            </w:pPr>
            <w:r>
              <w:rPr>
                <w:color w:val="000000"/>
              </w:rPr>
              <w:t>通过开展粮食质量监督抽检（监测）样品检验抽检、开展粮食购销领域巡视检查、深入开展粮食流通监管“铁拳行动”、开展“全国食品安全宣传周·粮食质量安全宣传日”活动、开展政策性粮食购销违法举报奖励等工作，保障政府储备粮食在出入库环节质量达到100%合格，</w:t>
            </w:r>
            <w:bookmarkStart w:id="0" w:name="OLE_LINK1"/>
            <w:r>
              <w:rPr>
                <w:color w:val="000000"/>
              </w:rPr>
              <w:t>严肃查处各类涉粮违法违规行为，</w:t>
            </w:r>
            <w:bookmarkEnd w:id="0"/>
            <w:r>
              <w:rPr>
                <w:color w:val="000000"/>
              </w:rPr>
              <w:t>保障人民群众食品安全，鼓励人民群众对政策性粮食购销流通领域违法违规行为进行举报并提供举报奖励，保障国家粮食安全，并提高人民群众粮食安全的意识。</w:t>
            </w:r>
          </w:p>
        </w:tc>
      </w:tr>
    </w:tbl>
    <w:p w14:paraId="05D208F1">
      <w:pPr>
        <w:tabs>
          <w:tab w:val="center" w:pos="4475"/>
        </w:tabs>
        <w:spacing w:line="600" w:lineRule="exact"/>
        <w:ind w:firstLine="645"/>
        <w:rPr>
          <w:color w:val="000000"/>
          <w:shd w:val="clear" w:color="auto" w:fill="FFFFFF"/>
        </w:rPr>
      </w:pPr>
    </w:p>
    <w:p w14:paraId="6A8BFFE5">
      <w:pPr>
        <w:tabs>
          <w:tab w:val="center" w:pos="4475"/>
        </w:tabs>
        <w:spacing w:line="600" w:lineRule="exact"/>
        <w:jc w:val="center"/>
        <w:rPr>
          <w:rFonts w:eastAsia="黑体"/>
          <w:sz w:val="36"/>
          <w:szCs w:val="36"/>
        </w:rPr>
      </w:pPr>
      <w:r>
        <w:rPr>
          <w:rFonts w:eastAsia="黑体"/>
          <w:sz w:val="36"/>
          <w:szCs w:val="36"/>
        </w:rPr>
        <w:t>第三部分：名词解释</w:t>
      </w:r>
    </w:p>
    <w:p w14:paraId="0E88BCF4">
      <w:pPr>
        <w:spacing w:line="580" w:lineRule="exact"/>
        <w:ind w:firstLine="630" w:firstLineChars="196"/>
        <w:rPr>
          <w:b/>
          <w:szCs w:val="32"/>
        </w:rPr>
      </w:pPr>
    </w:p>
    <w:p w14:paraId="25112849">
      <w:pPr>
        <w:spacing w:line="580" w:lineRule="exact"/>
        <w:ind w:firstLine="630" w:firstLineChars="196"/>
        <w:rPr>
          <w:szCs w:val="32"/>
        </w:rPr>
      </w:pPr>
      <w:r>
        <w:rPr>
          <w:b/>
          <w:szCs w:val="32"/>
        </w:rPr>
        <w:t>一、财政拨款收入</w:t>
      </w:r>
      <w:r>
        <w:rPr>
          <w:szCs w:val="32"/>
        </w:rPr>
        <w:t>：指自治区财政部门当年拨付的资金。</w:t>
      </w:r>
    </w:p>
    <w:p w14:paraId="208378E1">
      <w:pPr>
        <w:spacing w:line="580" w:lineRule="exact"/>
        <w:ind w:firstLine="630" w:firstLineChars="196"/>
        <w:rPr>
          <w:szCs w:val="32"/>
        </w:rPr>
      </w:pPr>
      <w:r>
        <w:rPr>
          <w:b/>
          <w:szCs w:val="32"/>
        </w:rPr>
        <w:t>二、事业收入</w:t>
      </w:r>
      <w:r>
        <w:rPr>
          <w:szCs w:val="32"/>
        </w:rPr>
        <w:t>：指事业单位开展专业业务活动及辅助活动所取得的收入。</w:t>
      </w:r>
    </w:p>
    <w:p w14:paraId="66D7D5AE">
      <w:pPr>
        <w:spacing w:line="580" w:lineRule="exact"/>
        <w:ind w:firstLine="630" w:firstLineChars="196"/>
        <w:rPr>
          <w:szCs w:val="32"/>
        </w:rPr>
      </w:pPr>
      <w:r>
        <w:rPr>
          <w:b/>
          <w:szCs w:val="32"/>
        </w:rPr>
        <w:t>三、经营收入：</w:t>
      </w:r>
      <w:r>
        <w:rPr>
          <w:szCs w:val="32"/>
        </w:rPr>
        <w:t>指事业单位在专业业务活动及其辅助活动之外开展非独立核算经营活动取得的收入。</w:t>
      </w:r>
    </w:p>
    <w:p w14:paraId="0C6FE9D3">
      <w:pPr>
        <w:spacing w:line="580" w:lineRule="exact"/>
        <w:ind w:firstLine="630" w:firstLineChars="196"/>
        <w:rPr>
          <w:szCs w:val="32"/>
        </w:rPr>
      </w:pPr>
      <w:r>
        <w:rPr>
          <w:b/>
          <w:szCs w:val="32"/>
        </w:rPr>
        <w:t>四、其他收入</w:t>
      </w:r>
      <w:r>
        <w:rPr>
          <w:szCs w:val="32"/>
        </w:rPr>
        <w:t>：指除上述“财政拨款收入”“事业收入”“经营收入”等以外的收入。</w:t>
      </w:r>
    </w:p>
    <w:p w14:paraId="7717BF2C">
      <w:pPr>
        <w:spacing w:line="580" w:lineRule="exact"/>
        <w:ind w:firstLine="630" w:firstLineChars="196"/>
        <w:rPr>
          <w:szCs w:val="32"/>
        </w:rPr>
      </w:pPr>
      <w:r>
        <w:rPr>
          <w:b/>
          <w:szCs w:val="32"/>
        </w:rPr>
        <w:t>五、年初结转和结余</w:t>
      </w:r>
      <w:r>
        <w:rPr>
          <w:szCs w:val="32"/>
        </w:rPr>
        <w:t>：指以前年度尚未完成、结转到本年按有关规定继续使用的资金。</w:t>
      </w:r>
    </w:p>
    <w:p w14:paraId="58B453C2">
      <w:pPr>
        <w:spacing w:line="580" w:lineRule="exact"/>
        <w:ind w:firstLine="630" w:firstLineChars="196"/>
        <w:rPr>
          <w:szCs w:val="32"/>
        </w:rPr>
      </w:pPr>
      <w:r>
        <w:rPr>
          <w:b/>
          <w:szCs w:val="32"/>
        </w:rPr>
        <w:t>六、年末结转和结余</w:t>
      </w:r>
      <w:r>
        <w:rPr>
          <w:szCs w:val="32"/>
        </w:rPr>
        <w:t>：指本年度或以前年度预算安排、因客观条件发生变化无法按原计划实施，需要延迟到以后年度按有关规定继续使用的资金。</w:t>
      </w:r>
    </w:p>
    <w:p w14:paraId="10D41F23">
      <w:pPr>
        <w:spacing w:line="580" w:lineRule="exact"/>
        <w:ind w:firstLine="630" w:firstLineChars="196"/>
        <w:rPr>
          <w:szCs w:val="32"/>
        </w:rPr>
      </w:pPr>
      <w:r>
        <w:rPr>
          <w:b/>
          <w:szCs w:val="32"/>
        </w:rPr>
        <w:t>七、基本支出</w:t>
      </w:r>
      <w:r>
        <w:rPr>
          <w:szCs w:val="32"/>
        </w:rPr>
        <w:t>：指为保障机构正常运转、完成日常工作任务而发生的人员支出和公用支出。</w:t>
      </w:r>
    </w:p>
    <w:p w14:paraId="0E18188B">
      <w:pPr>
        <w:spacing w:line="580" w:lineRule="exact"/>
        <w:ind w:firstLine="630" w:firstLineChars="196"/>
        <w:rPr>
          <w:szCs w:val="32"/>
        </w:rPr>
      </w:pPr>
      <w:r>
        <w:rPr>
          <w:b/>
          <w:szCs w:val="32"/>
        </w:rPr>
        <w:t>八、项目支出</w:t>
      </w:r>
      <w:r>
        <w:rPr>
          <w:szCs w:val="32"/>
        </w:rPr>
        <w:t>：指在基本支出之外为完成特定行政任务和事业发展目标所发生的支出。</w:t>
      </w:r>
    </w:p>
    <w:p w14:paraId="1358AA3D">
      <w:pPr>
        <w:spacing w:line="580" w:lineRule="exact"/>
        <w:ind w:firstLine="630" w:firstLineChars="196"/>
        <w:rPr>
          <w:szCs w:val="32"/>
        </w:rPr>
      </w:pPr>
      <w:r>
        <w:rPr>
          <w:b/>
          <w:szCs w:val="32"/>
        </w:rPr>
        <w:t>九、经营支出</w:t>
      </w:r>
      <w:r>
        <w:rPr>
          <w:szCs w:val="32"/>
        </w:rPr>
        <w:t>：指事业单位在专业业务活动及其辅助活动之外开展非独立核算经营活动发生的支出。</w:t>
      </w:r>
    </w:p>
    <w:p w14:paraId="5B829073">
      <w:pPr>
        <w:spacing w:line="580" w:lineRule="exact"/>
        <w:ind w:firstLine="630" w:firstLineChars="196"/>
        <w:rPr>
          <w:szCs w:val="32"/>
        </w:rPr>
      </w:pPr>
      <w:r>
        <w:rPr>
          <w:b/>
          <w:szCs w:val="32"/>
        </w:rPr>
        <w:t>十、“三公”经费</w:t>
      </w:r>
      <w:r>
        <w:rPr>
          <w:szCs w:val="32"/>
        </w:rPr>
        <w:t>：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EDD59BD">
      <w:pPr>
        <w:spacing w:line="580" w:lineRule="exact"/>
        <w:ind w:firstLine="630" w:firstLineChars="196"/>
        <w:rPr>
          <w:szCs w:val="32"/>
        </w:rPr>
      </w:pPr>
      <w:r>
        <w:rPr>
          <w:b/>
          <w:szCs w:val="32"/>
        </w:rPr>
        <w:t>十一、机关</w:t>
      </w:r>
      <w:r>
        <w:rPr>
          <w:rFonts w:hint="eastAsia"/>
          <w:b/>
          <w:szCs w:val="32"/>
          <w:lang w:eastAsia="zh-CN"/>
        </w:rPr>
        <w:t>事业</w:t>
      </w:r>
      <w:r>
        <w:rPr>
          <w:b/>
          <w:szCs w:val="32"/>
        </w:rPr>
        <w:t>运行经费：</w:t>
      </w:r>
      <w:r>
        <w:rPr>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w:t>
      </w:r>
      <w:bookmarkStart w:id="1" w:name="_GoBack"/>
      <w:bookmarkEnd w:id="1"/>
      <w:r>
        <w:rPr>
          <w:szCs w:val="32"/>
        </w:rPr>
        <w:t>车运行维护费以及其他费用。</w:t>
      </w:r>
    </w:p>
    <w:p w14:paraId="52A660AB">
      <w:pPr>
        <w:spacing w:line="580" w:lineRule="exact"/>
        <w:ind w:firstLine="630" w:firstLineChars="196"/>
        <w:rPr>
          <w:b/>
          <w:szCs w:val="32"/>
        </w:rPr>
      </w:pPr>
      <w:r>
        <w:rPr>
          <w:b/>
          <w:szCs w:val="32"/>
        </w:rPr>
        <w:t>十二、粮油物资储备支出（类）粮油物资事务（款）行政运行（项）：</w:t>
      </w:r>
      <w:r>
        <w:rPr>
          <w:szCs w:val="32"/>
        </w:rPr>
        <w:t>指主要用于为保证机关日常运转发生的基本支出。如根据国家规定的基本工资和津补贴标准等安排的人员经费支出、按自治区统一规定的开支标准安排的办公费、印刷费、水电费、培训费、差旅费、会议费等日常公用经费支出。</w:t>
      </w:r>
    </w:p>
    <w:p w14:paraId="31ED3924">
      <w:pPr>
        <w:spacing w:line="580" w:lineRule="exact"/>
        <w:ind w:firstLine="630" w:firstLineChars="196"/>
        <w:rPr>
          <w:szCs w:val="32"/>
        </w:rPr>
      </w:pPr>
      <w:r>
        <w:rPr>
          <w:b/>
          <w:szCs w:val="32"/>
        </w:rPr>
        <w:t>十三、粮油物资储备支出（类）粮油物资事务（款）一般行政管理事务（项）</w:t>
      </w:r>
      <w:r>
        <w:rPr>
          <w:szCs w:val="32"/>
        </w:rPr>
        <w:t>：指主要用于为完成各项工作任务、保障粮食和储备事业发展而发生的项目支出。</w:t>
      </w:r>
    </w:p>
    <w:p w14:paraId="7957D601">
      <w:pPr>
        <w:spacing w:line="580" w:lineRule="exact"/>
        <w:ind w:firstLine="630" w:firstLineChars="196"/>
        <w:rPr>
          <w:szCs w:val="32"/>
        </w:rPr>
      </w:pPr>
      <w:r>
        <w:rPr>
          <w:b/>
          <w:szCs w:val="32"/>
        </w:rPr>
        <w:t>十四、粮油物资储备支出（类）粮油物资事务（款）机关服务（项）：</w:t>
      </w:r>
      <w:r>
        <w:rPr>
          <w:szCs w:val="32"/>
        </w:rPr>
        <w:t>指主要用于为行政单位提供后勤服务的后勤服务中心的事业单位相关支出。</w:t>
      </w:r>
    </w:p>
    <w:p w14:paraId="3881E450">
      <w:pPr>
        <w:spacing w:line="580" w:lineRule="exact"/>
        <w:ind w:firstLine="630" w:firstLineChars="196"/>
        <w:rPr>
          <w:szCs w:val="32"/>
        </w:rPr>
      </w:pPr>
      <w:r>
        <w:rPr>
          <w:b/>
          <w:szCs w:val="32"/>
        </w:rPr>
        <w:t>十五、粮油物资储备支出（类）粮油物资事务（款）财务和审计支出（项）</w:t>
      </w:r>
      <w:r>
        <w:rPr>
          <w:szCs w:val="32"/>
        </w:rPr>
        <w:t>：主要是用于为管理粮食和储备而进行的财务和审计支出。</w:t>
      </w:r>
    </w:p>
    <w:p w14:paraId="0AEDAC3F">
      <w:pPr>
        <w:spacing w:line="580" w:lineRule="exact"/>
        <w:ind w:firstLine="630" w:firstLineChars="196"/>
        <w:rPr>
          <w:szCs w:val="32"/>
        </w:rPr>
      </w:pPr>
      <w:r>
        <w:rPr>
          <w:b/>
          <w:szCs w:val="32"/>
        </w:rPr>
        <w:t>十六、粮油物资储备支出（类）粮油物资事务（款）专项业务活动（项）</w:t>
      </w:r>
      <w:r>
        <w:rPr>
          <w:szCs w:val="32"/>
        </w:rPr>
        <w:t>：主要是用于粮食专项业务方面的支出。</w:t>
      </w:r>
    </w:p>
    <w:p w14:paraId="1A9001CF">
      <w:pPr>
        <w:spacing w:line="580" w:lineRule="exact"/>
        <w:ind w:firstLine="630" w:firstLineChars="196"/>
        <w:rPr>
          <w:szCs w:val="32"/>
        </w:rPr>
      </w:pPr>
      <w:r>
        <w:rPr>
          <w:b/>
          <w:szCs w:val="32"/>
        </w:rPr>
        <w:t>十七、粮油物资储备支出（类）粮油物资事务（款）粮油市场调控专项资金（项）</w:t>
      </w:r>
      <w:r>
        <w:rPr>
          <w:szCs w:val="32"/>
        </w:rPr>
        <w:t>：主要用于粮油市场调控业务方面的支出。</w:t>
      </w:r>
    </w:p>
    <w:p w14:paraId="1652061C">
      <w:pPr>
        <w:spacing w:line="580" w:lineRule="exact"/>
        <w:ind w:firstLine="630" w:firstLineChars="196"/>
        <w:rPr>
          <w:szCs w:val="32"/>
        </w:rPr>
      </w:pPr>
      <w:r>
        <w:rPr>
          <w:b/>
          <w:szCs w:val="32"/>
        </w:rPr>
        <w:t>十八、粮油物资储备支出（类）粮油物资事务（款）事业运行（项）</w:t>
      </w:r>
      <w:r>
        <w:rPr>
          <w:szCs w:val="32"/>
        </w:rPr>
        <w:t>：主要用于事业单位为保证日常运转发生的支出。如根据国家规定的基本工资和津补贴标准等安排的人员经费支出、按自治区统一规定的开支标准安排的办公费、印刷费、水电费、培训费、差旅费、会议费等日常公用经费支出。</w:t>
      </w:r>
    </w:p>
    <w:p w14:paraId="77423656">
      <w:pPr>
        <w:spacing w:line="580" w:lineRule="exact"/>
        <w:ind w:firstLine="630" w:firstLineChars="196"/>
        <w:rPr>
          <w:szCs w:val="32"/>
        </w:rPr>
      </w:pPr>
      <w:r>
        <w:rPr>
          <w:b/>
          <w:szCs w:val="32"/>
        </w:rPr>
        <w:t>十九、粮油物资储备支出（类）粮油物资事务（款）其他粮油物资事务支出（项）</w:t>
      </w:r>
      <w:r>
        <w:rPr>
          <w:szCs w:val="32"/>
        </w:rPr>
        <w:t>：主要用于其他关于粮油和物资事务方面的支出。</w:t>
      </w:r>
    </w:p>
    <w:p w14:paraId="6559A80D">
      <w:pPr>
        <w:spacing w:line="580" w:lineRule="exact"/>
        <w:ind w:firstLine="630" w:firstLineChars="196"/>
        <w:rPr>
          <w:szCs w:val="32"/>
        </w:rPr>
      </w:pPr>
      <w:r>
        <w:rPr>
          <w:b/>
          <w:szCs w:val="32"/>
        </w:rPr>
        <w:t>二十、粮油物资储备支出（类）粮油储备（款）储备粮（油）库建设（项）</w:t>
      </w:r>
      <w:r>
        <w:rPr>
          <w:szCs w:val="32"/>
        </w:rPr>
        <w:t>：主要用于粮油储备库建设维修支出。</w:t>
      </w:r>
    </w:p>
    <w:p w14:paraId="4DA48661">
      <w:pPr>
        <w:spacing w:line="580" w:lineRule="exact"/>
        <w:ind w:firstLine="630" w:firstLineChars="196"/>
        <w:rPr>
          <w:szCs w:val="32"/>
        </w:rPr>
      </w:pPr>
      <w:r>
        <w:rPr>
          <w:b/>
          <w:szCs w:val="32"/>
        </w:rPr>
        <w:t>二十一、粮油物资储备支出（类）重要商品储备（款）肉类储备（项）</w:t>
      </w:r>
      <w:r>
        <w:rPr>
          <w:szCs w:val="32"/>
        </w:rPr>
        <w:t>：主要用于猪肉等专项储备的有关支出。</w:t>
      </w:r>
    </w:p>
    <w:p w14:paraId="43EF8FF2">
      <w:pPr>
        <w:spacing w:line="580" w:lineRule="exact"/>
        <w:ind w:firstLine="630" w:firstLineChars="196"/>
        <w:rPr>
          <w:szCs w:val="32"/>
        </w:rPr>
      </w:pPr>
      <w:r>
        <w:rPr>
          <w:b/>
          <w:szCs w:val="32"/>
        </w:rPr>
        <w:t>二十二、社会保障和就业支出（类）行政事业单位养老支出（款）行政单位离退休（项）</w:t>
      </w:r>
      <w:r>
        <w:rPr>
          <w:szCs w:val="32"/>
        </w:rPr>
        <w:t>：主要用于我局机关的离退休人员经费支出。</w:t>
      </w:r>
    </w:p>
    <w:p w14:paraId="2405BFA4">
      <w:pPr>
        <w:spacing w:line="580" w:lineRule="exact"/>
        <w:ind w:firstLine="630" w:firstLineChars="196"/>
        <w:rPr>
          <w:szCs w:val="32"/>
        </w:rPr>
      </w:pPr>
      <w:r>
        <w:rPr>
          <w:b/>
          <w:szCs w:val="32"/>
        </w:rPr>
        <w:t>二十三、社会保障和就业支出（类）行政事业单位养老支出（款）事业单位离退休（项）</w:t>
      </w:r>
      <w:r>
        <w:rPr>
          <w:szCs w:val="32"/>
        </w:rPr>
        <w:t>：主要用于局直属事业单位离退休人员经费支出。</w:t>
      </w:r>
    </w:p>
    <w:p w14:paraId="4C3F50E6">
      <w:pPr>
        <w:spacing w:line="580" w:lineRule="exact"/>
        <w:ind w:firstLine="630" w:firstLineChars="196"/>
        <w:rPr>
          <w:szCs w:val="32"/>
        </w:rPr>
      </w:pPr>
      <w:r>
        <w:rPr>
          <w:b/>
          <w:szCs w:val="32"/>
        </w:rPr>
        <w:t>二十四、社会保障和就业支出（类）行政事业单位养老支出（款）机关事业单位基本养老保险缴费支出（项）</w:t>
      </w:r>
      <w:r>
        <w:rPr>
          <w:szCs w:val="32"/>
        </w:rPr>
        <w:t>：主要用于支付行政及事业单位在职职工的单位养老保险费用。</w:t>
      </w:r>
    </w:p>
    <w:p w14:paraId="3F5A516F">
      <w:pPr>
        <w:spacing w:line="580" w:lineRule="exact"/>
        <w:ind w:firstLine="630" w:firstLineChars="196"/>
        <w:rPr>
          <w:szCs w:val="32"/>
        </w:rPr>
      </w:pPr>
      <w:r>
        <w:rPr>
          <w:b/>
          <w:szCs w:val="32"/>
        </w:rPr>
        <w:t>二十五、社会保障和就业支出（类）行政事业单位养老支出（款）机关事业单位职业年金缴费支出（项）</w:t>
      </w:r>
      <w:r>
        <w:rPr>
          <w:szCs w:val="32"/>
        </w:rPr>
        <w:t>：主要用于支付行政及事业单位在职职工单位职业年金费用。</w:t>
      </w:r>
    </w:p>
    <w:p w14:paraId="27E9BA7D">
      <w:pPr>
        <w:spacing w:line="580" w:lineRule="exact"/>
        <w:ind w:firstLine="630" w:firstLineChars="196"/>
        <w:rPr>
          <w:szCs w:val="32"/>
        </w:rPr>
      </w:pPr>
      <w:r>
        <w:rPr>
          <w:b/>
          <w:szCs w:val="32"/>
        </w:rPr>
        <w:t>二十六、卫生健康支出（类）行政事业单位医疗（款）行政单位医疗（项）</w:t>
      </w:r>
      <w:r>
        <w:rPr>
          <w:szCs w:val="32"/>
        </w:rPr>
        <w:t>：主要是根据自治区统一规定，按行政机关在职职工工资总额的一定比例计缴的医疗保险。</w:t>
      </w:r>
    </w:p>
    <w:p w14:paraId="4B3EFDB7">
      <w:pPr>
        <w:spacing w:line="580" w:lineRule="exact"/>
        <w:ind w:firstLine="630" w:firstLineChars="196"/>
        <w:rPr>
          <w:szCs w:val="32"/>
        </w:rPr>
      </w:pPr>
      <w:r>
        <w:rPr>
          <w:b/>
          <w:szCs w:val="32"/>
        </w:rPr>
        <w:t>二十七、卫生健康支出（类）行政事业单位医疗（款）事业单位医疗（项）</w:t>
      </w:r>
      <w:r>
        <w:rPr>
          <w:szCs w:val="32"/>
        </w:rPr>
        <w:t>：主要是根据自治区统一规定，按事业单位在职职工工资总额的一定比例计缴的医疗保险。</w:t>
      </w:r>
    </w:p>
    <w:p w14:paraId="4EC6C480">
      <w:pPr>
        <w:spacing w:line="580" w:lineRule="exact"/>
        <w:ind w:firstLine="630" w:firstLineChars="196"/>
        <w:rPr>
          <w:szCs w:val="32"/>
        </w:rPr>
      </w:pPr>
      <w:r>
        <w:rPr>
          <w:b/>
          <w:szCs w:val="32"/>
        </w:rPr>
        <w:t>二十八、住房保障支出（类）住房改革支出（款）住房公积金(项)</w:t>
      </w:r>
      <w:r>
        <w:rPr>
          <w:szCs w:val="32"/>
        </w:rPr>
        <w:t>：主要是按照国家统一规定，为单位职工计缴的住房公积金。</w:t>
      </w:r>
    </w:p>
    <w:p w14:paraId="3C45352B">
      <w:pPr>
        <w:spacing w:line="580" w:lineRule="exact"/>
        <w:ind w:firstLine="630" w:firstLineChars="196"/>
        <w:rPr>
          <w:szCs w:val="32"/>
        </w:rPr>
      </w:pPr>
      <w:r>
        <w:rPr>
          <w:b/>
          <w:szCs w:val="32"/>
        </w:rPr>
        <w:t>二十九、教育支出（类）职业教育（款）中等职业教育（项）：</w:t>
      </w:r>
      <w:r>
        <w:rPr>
          <w:szCs w:val="32"/>
        </w:rPr>
        <w:t>主要是局直属事业单位广西工商技师学院中等职业教育支出。</w:t>
      </w:r>
    </w:p>
    <w:p w14:paraId="7BF40189">
      <w:pPr>
        <w:spacing w:line="580" w:lineRule="exact"/>
        <w:ind w:firstLine="630" w:firstLineChars="196"/>
        <w:rPr>
          <w:szCs w:val="32"/>
        </w:rPr>
      </w:pPr>
      <w:r>
        <w:rPr>
          <w:b/>
          <w:szCs w:val="32"/>
        </w:rPr>
        <w:t>三十、教育支出（类）职业教育（款）技校教育（项）：</w:t>
      </w:r>
      <w:r>
        <w:rPr>
          <w:szCs w:val="32"/>
        </w:rPr>
        <w:t>主要是局直属事业单位广西工商技师学院技校教育支出。</w:t>
      </w:r>
    </w:p>
    <w:p w14:paraId="7EC75A98">
      <w:pPr>
        <w:spacing w:line="580" w:lineRule="exact"/>
        <w:ind w:firstLine="630" w:firstLineChars="196"/>
        <w:rPr>
          <w:szCs w:val="32"/>
        </w:rPr>
      </w:pPr>
      <w:r>
        <w:rPr>
          <w:b/>
          <w:szCs w:val="32"/>
        </w:rPr>
        <w:t>三十一、教育支出（类）职业教育（款）高等职业教育（项）：</w:t>
      </w:r>
      <w:r>
        <w:rPr>
          <w:szCs w:val="32"/>
        </w:rPr>
        <w:t>主要是局直属事业单位广西工商职业技术学院高等职业教育支出。</w:t>
      </w:r>
    </w:p>
    <w:p w14:paraId="3456CBEF">
      <w:pPr>
        <w:spacing w:line="580" w:lineRule="exact"/>
        <w:rPr>
          <w:szCs w:val="32"/>
        </w:rPr>
      </w:pPr>
    </w:p>
    <w:p w14:paraId="60AA8F5F">
      <w:pPr>
        <w:spacing w:line="580" w:lineRule="exact"/>
        <w:jc w:val="center"/>
        <w:rPr>
          <w:rFonts w:eastAsia="黑体"/>
          <w:sz w:val="36"/>
          <w:szCs w:val="36"/>
        </w:rPr>
      </w:pPr>
      <w:r>
        <w:rPr>
          <w:rFonts w:eastAsia="黑体"/>
          <w:sz w:val="36"/>
          <w:szCs w:val="36"/>
        </w:rPr>
        <w:t>第四部分：自治区粮食和物资储备局202</w:t>
      </w:r>
      <w:r>
        <w:rPr>
          <w:rFonts w:hint="eastAsia" w:eastAsia="黑体"/>
          <w:sz w:val="36"/>
          <w:szCs w:val="36"/>
        </w:rPr>
        <w:t>5</w:t>
      </w:r>
      <w:r>
        <w:rPr>
          <w:rFonts w:eastAsia="黑体"/>
          <w:sz w:val="36"/>
          <w:szCs w:val="36"/>
        </w:rPr>
        <w:t>年部门预算报表</w:t>
      </w:r>
    </w:p>
    <w:p w14:paraId="44289DEF">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p>
    <w:p w14:paraId="1162F62A">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一、部门收支总体情况表（预算公开01表）</w:t>
      </w:r>
    </w:p>
    <w:p w14:paraId="76D570BF">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二、部门收入总体情况表（预算公开02表）</w:t>
      </w:r>
    </w:p>
    <w:p w14:paraId="574663B3">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三、部门支出总体情况表（预算公开03表）</w:t>
      </w:r>
    </w:p>
    <w:p w14:paraId="625006D4">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四、财政拨款收支总体情况表（预算公开04表）</w:t>
      </w:r>
    </w:p>
    <w:p w14:paraId="747AC92D">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五、一般公共预算支出情况表（预算公开05表）</w:t>
      </w:r>
    </w:p>
    <w:p w14:paraId="259EF30D">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六、一般公共预算基本支出情况表（预算公开06表）</w:t>
      </w:r>
    </w:p>
    <w:p w14:paraId="383CC364">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七、 财政拨款“三公”经费、会议费和培训费支出情况表（预算公开07表）</w:t>
      </w:r>
    </w:p>
    <w:p w14:paraId="2F04EB79">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八、政府性基金预算支出情况表（预算公开08表）</w:t>
      </w:r>
    </w:p>
    <w:p w14:paraId="3F8A69FB">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九、国有资本经营预算支出情况表（预算公开09表）</w:t>
      </w:r>
    </w:p>
    <w:p w14:paraId="101B1F67">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十、自治区本级项目绩效目标公开表（预算公开10表）</w:t>
      </w:r>
    </w:p>
    <w:p w14:paraId="084C940A">
      <w:pPr>
        <w:pStyle w:val="8"/>
        <w:shd w:val="clear" w:color="auto" w:fill="FFFFFF"/>
        <w:spacing w:before="195" w:beforeAutospacing="0" w:after="195" w:afterAutospacing="0"/>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十一、对下转移支付项目绩效目标公开表（预算公开11表）</w:t>
      </w:r>
    </w:p>
    <w:p w14:paraId="393409A3">
      <w:pPr>
        <w:pStyle w:val="8"/>
        <w:shd w:val="clear" w:color="auto" w:fill="FFFFFF"/>
        <w:spacing w:before="195" w:beforeAutospacing="0" w:after="195" w:afterAutospacing="0"/>
        <w:ind w:firstLine="640" w:firstLineChars="200"/>
        <w:rPr>
          <w:rFonts w:ascii="Times New Roman" w:hAnsi="Times New Roman" w:cs="Times New Roman"/>
        </w:rPr>
      </w:pPr>
      <w:r>
        <w:rPr>
          <w:rFonts w:ascii="Times New Roman" w:hAnsi="Times New Roman" w:eastAsia="仿宋_GB2312" w:cs="Times New Roman"/>
          <w:kern w:val="2"/>
          <w:sz w:val="32"/>
          <w:szCs w:val="32"/>
        </w:rPr>
        <w:t>以上表格详见附件。</w:t>
      </w:r>
    </w:p>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ED4">
    <w:pPr>
      <w:pStyle w:val="6"/>
      <w:framePr w:wrap="around" w:vAnchor="text" w:hAnchor="margin" w:xAlign="center" w:y="1"/>
      <w:rPr>
        <w:rStyle w:val="12"/>
        <w:rFonts w:eastAsia="宋体"/>
        <w:sz w:val="28"/>
      </w:rPr>
    </w:pPr>
    <w:r>
      <w:rPr>
        <w:rStyle w:val="12"/>
        <w:rFonts w:eastAsia="宋体"/>
        <w:sz w:val="28"/>
        <w:szCs w:val="24"/>
      </w:rPr>
      <w:fldChar w:fldCharType="begin"/>
    </w:r>
    <w:r>
      <w:rPr>
        <w:rStyle w:val="12"/>
        <w:rFonts w:eastAsia="宋体"/>
        <w:sz w:val="28"/>
        <w:szCs w:val="24"/>
      </w:rPr>
      <w:instrText xml:space="preserve">PAGE  </w:instrText>
    </w:r>
    <w:r>
      <w:rPr>
        <w:rStyle w:val="12"/>
        <w:rFonts w:eastAsia="宋体"/>
        <w:sz w:val="28"/>
        <w:szCs w:val="24"/>
      </w:rPr>
      <w:fldChar w:fldCharType="separate"/>
    </w:r>
    <w:r>
      <w:rPr>
        <w:rStyle w:val="12"/>
        <w:rFonts w:eastAsia="宋体"/>
        <w:sz w:val="28"/>
        <w:szCs w:val="24"/>
      </w:rPr>
      <w:t>- 22 -</w:t>
    </w:r>
    <w:r>
      <w:rPr>
        <w:rStyle w:val="12"/>
        <w:rFonts w:eastAsia="宋体"/>
        <w:sz w:val="28"/>
        <w:szCs w:val="24"/>
      </w:rPr>
      <w:fldChar w:fldCharType="end"/>
    </w:r>
  </w:p>
  <w:p w14:paraId="6516F23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CDDD">
    <w:pPr>
      <w:pStyle w:val="6"/>
      <w:framePr w:wrap="around" w:vAnchor="text" w:hAnchor="margin" w:xAlign="center" w:y="1"/>
      <w:rPr>
        <w:rStyle w:val="12"/>
      </w:rPr>
    </w:pPr>
    <w:r>
      <w:rPr>
        <w:rStyle w:val="12"/>
        <w:sz w:val="32"/>
        <w:szCs w:val="24"/>
      </w:rPr>
      <w:fldChar w:fldCharType="begin"/>
    </w:r>
    <w:r>
      <w:rPr>
        <w:rStyle w:val="12"/>
        <w:sz w:val="32"/>
        <w:szCs w:val="24"/>
      </w:rPr>
      <w:instrText xml:space="preserve">PAGE  </w:instrText>
    </w:r>
    <w:r>
      <w:rPr>
        <w:rStyle w:val="12"/>
        <w:sz w:val="32"/>
        <w:szCs w:val="24"/>
      </w:rPr>
      <w:fldChar w:fldCharType="end"/>
    </w:r>
  </w:p>
  <w:p w14:paraId="274AFDB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5E841324"/>
    <w:rsid w:val="00012875"/>
    <w:rsid w:val="00013B7B"/>
    <w:rsid w:val="00072214"/>
    <w:rsid w:val="000A2CCD"/>
    <w:rsid w:val="000B55BD"/>
    <w:rsid w:val="000E1D19"/>
    <w:rsid w:val="000F5C22"/>
    <w:rsid w:val="00110D3F"/>
    <w:rsid w:val="00164D58"/>
    <w:rsid w:val="00172A4C"/>
    <w:rsid w:val="002116E8"/>
    <w:rsid w:val="00236C91"/>
    <w:rsid w:val="002800C4"/>
    <w:rsid w:val="00295BA6"/>
    <w:rsid w:val="003A77B3"/>
    <w:rsid w:val="003E15AE"/>
    <w:rsid w:val="00427B29"/>
    <w:rsid w:val="00435B86"/>
    <w:rsid w:val="004363A7"/>
    <w:rsid w:val="004745FC"/>
    <w:rsid w:val="004929E3"/>
    <w:rsid w:val="004B478B"/>
    <w:rsid w:val="004D7D6D"/>
    <w:rsid w:val="0050473A"/>
    <w:rsid w:val="005208B4"/>
    <w:rsid w:val="005E2416"/>
    <w:rsid w:val="0060255E"/>
    <w:rsid w:val="006935FB"/>
    <w:rsid w:val="00723708"/>
    <w:rsid w:val="00746448"/>
    <w:rsid w:val="007856E7"/>
    <w:rsid w:val="0080438E"/>
    <w:rsid w:val="0080679D"/>
    <w:rsid w:val="00874886"/>
    <w:rsid w:val="008B52C6"/>
    <w:rsid w:val="008F200C"/>
    <w:rsid w:val="00905F56"/>
    <w:rsid w:val="0092211B"/>
    <w:rsid w:val="009C495D"/>
    <w:rsid w:val="009F6750"/>
    <w:rsid w:val="00A10E13"/>
    <w:rsid w:val="00A5064F"/>
    <w:rsid w:val="00B60D49"/>
    <w:rsid w:val="00C10DB7"/>
    <w:rsid w:val="00C35AC0"/>
    <w:rsid w:val="00C37BAD"/>
    <w:rsid w:val="00C57B78"/>
    <w:rsid w:val="00C831BB"/>
    <w:rsid w:val="00C97ABB"/>
    <w:rsid w:val="00D87EE6"/>
    <w:rsid w:val="00DB60D6"/>
    <w:rsid w:val="00EB4CF9"/>
    <w:rsid w:val="00EC4D66"/>
    <w:rsid w:val="00FF54BD"/>
    <w:rsid w:val="0D8559B7"/>
    <w:rsid w:val="1E9A176A"/>
    <w:rsid w:val="4F943D9F"/>
    <w:rsid w:val="56E46059"/>
    <w:rsid w:val="5E841324"/>
    <w:rsid w:val="63DD045F"/>
    <w:rsid w:val="68E63873"/>
    <w:rsid w:val="753E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qFormat/>
    <w:uiPriority w:val="0"/>
    <w:pPr>
      <w:spacing w:line="560" w:lineRule="exact"/>
    </w:pPr>
    <w:rPr>
      <w:rFonts w:ascii="宋体" w:eastAsia="宋体"/>
      <w:kern w:val="0"/>
      <w:sz w:val="18"/>
      <w:szCs w:val="18"/>
    </w:rPr>
  </w:style>
  <w:style w:type="paragraph" w:styleId="3">
    <w:name w:val="Body Text"/>
    <w:basedOn w:val="1"/>
    <w:uiPriority w:val="0"/>
    <w:pPr>
      <w:spacing w:after="120"/>
    </w:pPr>
  </w:style>
  <w:style w:type="paragraph" w:styleId="4">
    <w:name w:val="Plain Text"/>
    <w:qFormat/>
    <w:uiPriority w:val="99"/>
    <w:pPr>
      <w:widowControl w:val="0"/>
      <w:jc w:val="both"/>
    </w:pPr>
    <w:rPr>
      <w:rFonts w:ascii="宋体" w:hAnsi="Courier New" w:eastAsia="仿宋_GB2312" w:cs="Courier New"/>
      <w:kern w:val="2"/>
      <w:sz w:val="32"/>
      <w:szCs w:val="21"/>
      <w:lang w:val="en-US" w:eastAsia="zh-CN" w:bidi="ar-SA"/>
    </w:rPr>
  </w:style>
  <w:style w:type="paragraph" w:styleId="5">
    <w:name w:val="Balloon Text"/>
    <w:basedOn w:val="1"/>
    <w:link w:val="16"/>
    <w:qFormat/>
    <w:uiPriority w:val="0"/>
    <w:rPr>
      <w:sz w:val="18"/>
      <w:szCs w:val="18"/>
    </w:rPr>
  </w:style>
  <w:style w:type="paragraph" w:styleId="6">
    <w:name w:val="footer"/>
    <w:qFormat/>
    <w:uiPriority w:val="0"/>
    <w:pPr>
      <w:widowControl w:val="0"/>
      <w:tabs>
        <w:tab w:val="center" w:pos="4153"/>
        <w:tab w:val="right" w:pos="8306"/>
      </w:tabs>
      <w:snapToGrid w:val="0"/>
    </w:pPr>
    <w:rPr>
      <w:rFonts w:ascii="Times New Roman" w:hAnsi="Times New Roman" w:eastAsia="仿宋_GB2312" w:cs="Times New Roman"/>
      <w:kern w:val="2"/>
      <w:sz w:val="18"/>
      <w:szCs w:val="18"/>
      <w:lang w:val="en-US" w:eastAsia="zh-CN" w:bidi="ar-SA"/>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unhideWhenUsed/>
    <w:qFormat/>
    <w:uiPriority w:val="99"/>
    <w:pPr>
      <w:spacing w:before="100" w:beforeAutospacing="1" w:after="100" w:afterAutospacing="1"/>
    </w:pPr>
    <w:rPr>
      <w:rFonts w:ascii="宋体" w:hAnsi="宋体" w:eastAsia="宋体" w:cs="宋体"/>
      <w:sz w:val="24"/>
      <w:szCs w:val="24"/>
      <w:lang w:val="en-US" w:eastAsia="zh-CN" w:bidi="ar-SA"/>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Emphasis"/>
    <w:basedOn w:val="11"/>
    <w:qFormat/>
    <w:uiPriority w:val="20"/>
    <w:rPr>
      <w:i/>
      <w:iCs/>
    </w:rPr>
  </w:style>
  <w:style w:type="character" w:customStyle="1" w:styleId="14">
    <w:name w:val="页眉 Char"/>
    <w:basedOn w:val="11"/>
    <w:link w:val="7"/>
    <w:qFormat/>
    <w:uiPriority w:val="0"/>
    <w:rPr>
      <w:rFonts w:ascii="Times New Roman" w:hAnsi="Times New Roman" w:eastAsia="仿宋_GB2312" w:cs="Times New Roman"/>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11"/>
    <w:link w:val="5"/>
    <w:qFormat/>
    <w:uiPriority w:val="0"/>
    <w:rPr>
      <w:rFonts w:ascii="Times New Roman" w:hAnsi="Times New Roman" w:eastAsia="仿宋_GB2312" w:cs="Times New Roman"/>
      <w:kern w:val="2"/>
      <w:sz w:val="18"/>
      <w:szCs w:val="18"/>
    </w:rPr>
  </w:style>
  <w:style w:type="character" w:customStyle="1" w:styleId="17">
    <w:name w:val="文档结构图 Char"/>
    <w:basedOn w:val="11"/>
    <w:link w:val="2"/>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4373</Words>
  <Characters>4420</Characters>
  <Lines>82</Lines>
  <Paragraphs>23</Paragraphs>
  <TotalTime>419</TotalTime>
  <ScaleCrop>false</ScaleCrop>
  <LinksUpToDate>false</LinksUpToDate>
  <CharactersWithSpaces>4428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2024-02-08T01:05:00Z</dcterms:created>
  <dc:creator>WPS_1601470598</dc:creator>
  <cp:lastModifiedBy>WPS_1601470598</cp:lastModifiedBy>
  <dcterms:modified xsi:type="dcterms:W3CDTF">2025-02-13T01:47:31Z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97BFD4E04CC242CBB073C0CAD5A0E3BE_13</vt:lpwstr>
  </property>
  <property fmtid="{D5CDD505-2E9C-101B-9397-08002B2CF9AE}" pid="4" name="KSOTemplateDocerSaveRecord">
    <vt:lpwstr>eyJoZGlkIjoiM2YyYWEyZWQ0OTMyYTMyNDdjZTUzMTYzN2Y2OWE2ZTMiLCJ1c2VySWQiOiIxMTI2MTY3NDU0In0=</vt:lpwstr>
  </property>
</Properties>
</file>