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verflowPunct w:val="0"/>
        <w:adjustRightInd w:val="0"/>
        <w:snapToGrid w:val="0"/>
        <w:spacing w:line="590" w:lineRule="exact"/>
        <w:jc w:val="center"/>
        <w:rPr>
          <w:rFonts w:ascii="Times New Roman" w:hAnsi="Times New Roman" w:eastAsia="黑体"/>
          <w:snapToGrid w:val="0"/>
          <w:sz w:val="44"/>
          <w:szCs w:val="44"/>
        </w:rPr>
      </w:pPr>
      <w:r>
        <w:rPr>
          <w:rFonts w:hint="eastAsia" w:ascii="Times New Roman" w:hAnsi="Times New Roman" w:eastAsia="黑体"/>
          <w:snapToGrid w:val="0"/>
          <w:sz w:val="44"/>
          <w:szCs w:val="44"/>
        </w:rPr>
        <w:t>广西壮族自治区救灾物资储备中心</w:t>
      </w:r>
    </w:p>
    <w:p>
      <w:pPr>
        <w:pStyle w:val="3"/>
        <w:overflowPunct w:val="0"/>
        <w:adjustRightInd w:val="0"/>
        <w:snapToGrid w:val="0"/>
        <w:spacing w:line="590" w:lineRule="exact"/>
        <w:jc w:val="center"/>
        <w:rPr>
          <w:rFonts w:eastAsia="黑体" w:cs="宋体"/>
          <w:sz w:val="32"/>
          <w:szCs w:val="32"/>
        </w:rPr>
      </w:pPr>
      <w:r>
        <w:rPr>
          <w:rFonts w:hint="eastAsia" w:ascii="Times New Roman" w:hAnsi="Times New Roman" w:eastAsia="黑体"/>
          <w:snapToGrid w:val="0"/>
          <w:sz w:val="44"/>
          <w:szCs w:val="44"/>
        </w:rPr>
        <w:t>2024年部门预算公开</w:t>
      </w:r>
    </w:p>
    <w:p>
      <w:pPr>
        <w:spacing w:line="590" w:lineRule="exact"/>
        <w:rPr>
          <w:rFonts w:ascii="Times New Roman" w:hAnsi="Times New Roman" w:eastAsia="仿宋_GB2312"/>
          <w:color w:val="333333"/>
          <w:sz w:val="32"/>
          <w:szCs w:val="32"/>
        </w:rPr>
      </w:pPr>
    </w:p>
    <w:p>
      <w:pPr>
        <w:adjustRightInd w:val="0"/>
        <w:snapToGrid w:val="0"/>
        <w:spacing w:line="590" w:lineRule="exact"/>
        <w:ind w:right="-218" w:rightChars="-104"/>
        <w:jc w:val="center"/>
        <w:rPr>
          <w:rFonts w:ascii="宋体" w:hAnsi="宋体" w:cs="宋体"/>
          <w:kern w:val="0"/>
          <w:sz w:val="32"/>
          <w:szCs w:val="32"/>
        </w:rPr>
      </w:pPr>
      <w:r>
        <w:rPr>
          <w:rFonts w:hint="eastAsia" w:ascii="宋体" w:hAnsi="宋体" w:cs="宋体"/>
          <w:kern w:val="0"/>
          <w:sz w:val="32"/>
          <w:szCs w:val="32"/>
        </w:rPr>
        <w:t>目录</w:t>
      </w:r>
    </w:p>
    <w:p>
      <w:pPr>
        <w:adjustRightInd w:val="0"/>
        <w:snapToGrid w:val="0"/>
        <w:spacing w:line="590" w:lineRule="exact"/>
        <w:ind w:right="-218" w:rightChars="-104"/>
        <w:jc w:val="center"/>
        <w:rPr>
          <w:rFonts w:ascii="仿宋" w:hAnsi="仿宋" w:eastAsia="仿宋" w:cs="宋体"/>
          <w:kern w:val="0"/>
          <w:sz w:val="32"/>
          <w:szCs w:val="32"/>
        </w:rPr>
      </w:pPr>
    </w:p>
    <w:p>
      <w:pPr>
        <w:adjustRightInd w:val="0"/>
        <w:snapToGrid w:val="0"/>
        <w:spacing w:line="590" w:lineRule="exact"/>
        <w:ind w:right="-218" w:rightChars="-104" w:firstLine="640" w:firstLineChars="200"/>
        <w:rPr>
          <w:rFonts w:ascii="黑体" w:hAnsi="黑体" w:eastAsia="黑体" w:cs="黑体"/>
          <w:kern w:val="0"/>
          <w:sz w:val="32"/>
          <w:szCs w:val="32"/>
        </w:rPr>
      </w:pPr>
      <w:r>
        <w:rPr>
          <w:rFonts w:hint="eastAsia" w:ascii="黑体" w:hAnsi="黑体" w:eastAsia="黑体" w:cs="黑体"/>
          <w:kern w:val="0"/>
          <w:sz w:val="32"/>
          <w:szCs w:val="32"/>
        </w:rPr>
        <w:t>第一部分：自治区救灾物资储备中心概况</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一、主要职能</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二、机构、人员构成情况</w:t>
      </w:r>
    </w:p>
    <w:p>
      <w:pPr>
        <w:adjustRightInd w:val="0"/>
        <w:snapToGrid w:val="0"/>
        <w:spacing w:line="590" w:lineRule="exact"/>
        <w:ind w:right="-218" w:rightChars="-104" w:firstLine="640" w:firstLineChars="200"/>
        <w:rPr>
          <w:rFonts w:ascii="黑体" w:hAnsi="黑体" w:eastAsia="黑体" w:cs="黑体"/>
          <w:w w:val="90"/>
          <w:kern w:val="0"/>
          <w:sz w:val="32"/>
          <w:szCs w:val="32"/>
        </w:rPr>
      </w:pPr>
      <w:r>
        <w:rPr>
          <w:rFonts w:hint="eastAsia" w:ascii="黑体" w:hAnsi="黑体" w:eastAsia="黑体" w:cs="黑体"/>
          <w:kern w:val="0"/>
          <w:sz w:val="32"/>
          <w:szCs w:val="32"/>
        </w:rPr>
        <w:t>第二部分：</w:t>
      </w:r>
      <w:r>
        <w:rPr>
          <w:rFonts w:hint="eastAsia" w:ascii="黑体" w:hAnsi="黑体" w:eastAsia="黑体" w:cs="黑体"/>
          <w:w w:val="90"/>
          <w:kern w:val="0"/>
          <w:sz w:val="32"/>
          <w:szCs w:val="32"/>
        </w:rPr>
        <w:t>自治区救灾物资储备中心2024年部门预算情况说明</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一、部门收支预算总体情况说明</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二、部门收入总体情况说明</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三、部门支出总体情况说明</w:t>
      </w:r>
    </w:p>
    <w:p>
      <w:pPr>
        <w:numPr>
          <w:ilvl w:val="0"/>
          <w:numId w:val="1"/>
        </w:numPr>
        <w:tabs>
          <w:tab w:val="center" w:pos="4475"/>
        </w:tabs>
        <w:spacing w:line="590" w:lineRule="exact"/>
        <w:ind w:firstLine="645"/>
        <w:rPr>
          <w:rFonts w:ascii="宋体" w:hAnsi="宋体" w:cs="宋体"/>
          <w:kern w:val="0"/>
          <w:sz w:val="32"/>
          <w:szCs w:val="32"/>
        </w:rPr>
      </w:pPr>
      <w:r>
        <w:rPr>
          <w:rFonts w:hint="eastAsia" w:ascii="宋体" w:hAnsi="宋体" w:cs="宋体"/>
          <w:kern w:val="0"/>
          <w:sz w:val="32"/>
          <w:szCs w:val="32"/>
        </w:rPr>
        <w:t>财政拨款收支总体情况说明</w:t>
      </w:r>
    </w:p>
    <w:p>
      <w:pPr>
        <w:numPr>
          <w:ilvl w:val="0"/>
          <w:numId w:val="1"/>
        </w:numPr>
        <w:tabs>
          <w:tab w:val="center" w:pos="4475"/>
        </w:tabs>
        <w:spacing w:line="590" w:lineRule="exact"/>
        <w:ind w:firstLine="645"/>
        <w:rPr>
          <w:rFonts w:ascii="宋体" w:hAnsi="宋体" w:cs="宋体"/>
          <w:kern w:val="0"/>
          <w:sz w:val="32"/>
          <w:szCs w:val="32"/>
        </w:rPr>
      </w:pPr>
      <w:r>
        <w:rPr>
          <w:rFonts w:hint="eastAsia" w:ascii="宋体" w:hAnsi="宋体" w:cs="宋体"/>
          <w:kern w:val="0"/>
          <w:sz w:val="32"/>
          <w:szCs w:val="32"/>
        </w:rPr>
        <w:t>一般公共预算支出情况说明</w:t>
      </w:r>
    </w:p>
    <w:p>
      <w:pPr>
        <w:numPr>
          <w:ilvl w:val="0"/>
          <w:numId w:val="1"/>
        </w:numPr>
        <w:tabs>
          <w:tab w:val="center" w:pos="4475"/>
        </w:tabs>
        <w:spacing w:line="590" w:lineRule="exact"/>
        <w:ind w:firstLine="645"/>
        <w:rPr>
          <w:rFonts w:ascii="宋体" w:hAnsi="宋体" w:cs="宋体"/>
          <w:kern w:val="0"/>
          <w:sz w:val="32"/>
          <w:szCs w:val="32"/>
        </w:rPr>
      </w:pPr>
      <w:r>
        <w:rPr>
          <w:rFonts w:hint="eastAsia" w:ascii="宋体" w:hAnsi="宋体" w:cs="宋体"/>
          <w:kern w:val="0"/>
          <w:sz w:val="32"/>
          <w:szCs w:val="32"/>
        </w:rPr>
        <w:t>一般公共预算基本支出情况说明</w:t>
      </w:r>
    </w:p>
    <w:p>
      <w:pPr>
        <w:numPr>
          <w:ilvl w:val="0"/>
          <w:numId w:val="1"/>
        </w:numPr>
        <w:tabs>
          <w:tab w:val="center" w:pos="4475"/>
        </w:tabs>
        <w:spacing w:line="590" w:lineRule="exact"/>
        <w:ind w:firstLine="645"/>
        <w:rPr>
          <w:rFonts w:ascii="宋体" w:hAnsi="宋体" w:cs="宋体"/>
          <w:kern w:val="0"/>
          <w:sz w:val="32"/>
          <w:szCs w:val="32"/>
        </w:rPr>
      </w:pPr>
      <w:r>
        <w:rPr>
          <w:rFonts w:hint="eastAsia" w:ascii="宋体" w:hAnsi="宋体" w:cs="宋体"/>
          <w:kern w:val="0"/>
          <w:sz w:val="32"/>
          <w:szCs w:val="32"/>
        </w:rPr>
        <w:t>一般公共预算“三公”经费支出情况说明</w:t>
      </w:r>
    </w:p>
    <w:p>
      <w:pPr>
        <w:numPr>
          <w:ilvl w:val="0"/>
          <w:numId w:val="1"/>
        </w:numPr>
        <w:tabs>
          <w:tab w:val="center" w:pos="4475"/>
        </w:tabs>
        <w:spacing w:line="590" w:lineRule="exact"/>
        <w:ind w:firstLine="645"/>
        <w:rPr>
          <w:rFonts w:ascii="宋体" w:hAnsi="宋体" w:cs="宋体"/>
          <w:kern w:val="0"/>
          <w:sz w:val="32"/>
          <w:szCs w:val="32"/>
        </w:rPr>
      </w:pPr>
      <w:r>
        <w:rPr>
          <w:rFonts w:hint="eastAsia" w:ascii="宋体" w:hAnsi="宋体" w:cs="宋体"/>
          <w:kern w:val="0"/>
          <w:sz w:val="32"/>
          <w:szCs w:val="32"/>
        </w:rPr>
        <w:t>政府性基金预算支出情况说明</w:t>
      </w:r>
    </w:p>
    <w:p>
      <w:pPr>
        <w:numPr>
          <w:ilvl w:val="0"/>
          <w:numId w:val="1"/>
        </w:numPr>
        <w:tabs>
          <w:tab w:val="center" w:pos="4475"/>
        </w:tabs>
        <w:spacing w:line="590" w:lineRule="exact"/>
        <w:ind w:firstLine="645"/>
        <w:rPr>
          <w:rFonts w:ascii="宋体" w:hAnsi="宋体" w:cs="宋体"/>
          <w:kern w:val="0"/>
          <w:sz w:val="32"/>
          <w:szCs w:val="32"/>
        </w:rPr>
      </w:pPr>
      <w:r>
        <w:rPr>
          <w:rFonts w:hint="eastAsia" w:ascii="宋体" w:hAnsi="宋体" w:cs="宋体"/>
          <w:kern w:val="0"/>
          <w:sz w:val="32"/>
          <w:szCs w:val="32"/>
        </w:rPr>
        <w:t>国有资本经营预算支出情况说明</w:t>
      </w:r>
    </w:p>
    <w:p>
      <w:pPr>
        <w:numPr>
          <w:ilvl w:val="0"/>
          <w:numId w:val="1"/>
        </w:numPr>
        <w:tabs>
          <w:tab w:val="center" w:pos="4475"/>
        </w:tabs>
        <w:spacing w:line="590" w:lineRule="exact"/>
        <w:ind w:firstLine="645"/>
        <w:rPr>
          <w:rFonts w:ascii="宋体" w:hAnsi="宋体" w:cs="宋体"/>
          <w:kern w:val="0"/>
          <w:sz w:val="32"/>
          <w:szCs w:val="32"/>
        </w:rPr>
      </w:pPr>
      <w:r>
        <w:rPr>
          <w:rFonts w:hint="eastAsia" w:ascii="宋体" w:hAnsi="宋体" w:cs="宋体"/>
          <w:kern w:val="0"/>
          <w:sz w:val="32"/>
          <w:szCs w:val="32"/>
        </w:rPr>
        <w:t>其他重要事项情况说明</w:t>
      </w:r>
    </w:p>
    <w:p>
      <w:pPr>
        <w:adjustRightInd w:val="0"/>
        <w:snapToGrid w:val="0"/>
        <w:spacing w:line="590" w:lineRule="exact"/>
        <w:ind w:right="-218" w:rightChars="-104" w:firstLine="640" w:firstLineChars="200"/>
        <w:rPr>
          <w:rFonts w:ascii="黑体" w:hAnsi="黑体" w:eastAsia="黑体" w:cs="黑体"/>
          <w:kern w:val="0"/>
          <w:sz w:val="32"/>
          <w:szCs w:val="32"/>
        </w:rPr>
      </w:pPr>
      <w:r>
        <w:rPr>
          <w:rFonts w:hint="eastAsia" w:ascii="黑体" w:hAnsi="黑体" w:eastAsia="黑体" w:cs="黑体"/>
          <w:kern w:val="0"/>
          <w:sz w:val="32"/>
          <w:szCs w:val="32"/>
        </w:rPr>
        <w:t>第三部分：名词解释</w:t>
      </w:r>
    </w:p>
    <w:p>
      <w:pPr>
        <w:adjustRightInd w:val="0"/>
        <w:snapToGrid w:val="0"/>
        <w:spacing w:line="590" w:lineRule="exact"/>
        <w:ind w:right="-218" w:rightChars="-104" w:firstLine="640" w:firstLineChars="200"/>
        <w:rPr>
          <w:rFonts w:ascii="黑体" w:hAnsi="黑体" w:eastAsia="黑体" w:cs="黑体"/>
          <w:w w:val="90"/>
          <w:kern w:val="0"/>
          <w:sz w:val="32"/>
          <w:szCs w:val="32"/>
        </w:rPr>
      </w:pPr>
      <w:r>
        <w:rPr>
          <w:rFonts w:hint="eastAsia" w:ascii="黑体" w:hAnsi="黑体" w:eastAsia="黑体" w:cs="黑体"/>
          <w:kern w:val="0"/>
          <w:sz w:val="32"/>
          <w:szCs w:val="32"/>
        </w:rPr>
        <w:t>第四部分：</w:t>
      </w:r>
      <w:r>
        <w:rPr>
          <w:rFonts w:hint="eastAsia" w:ascii="黑体" w:hAnsi="黑体" w:eastAsia="黑体" w:cs="黑体"/>
          <w:w w:val="90"/>
          <w:kern w:val="0"/>
          <w:sz w:val="32"/>
          <w:szCs w:val="32"/>
        </w:rPr>
        <w:t>自治区救灾物资储备中心2024年单位预算报表</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一、部门收支预算总体情况（预算公开01表）</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二、部门收入总体情况表（预算公开02表）</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三、部门支出总体情况表（预算公开03表）</w:t>
      </w:r>
    </w:p>
    <w:p>
      <w:pPr>
        <w:tabs>
          <w:tab w:val="center" w:pos="4475"/>
        </w:tabs>
        <w:spacing w:line="590" w:lineRule="exact"/>
        <w:ind w:firstLine="640" w:firstLineChars="200"/>
        <w:rPr>
          <w:rFonts w:ascii="宋体" w:hAnsi="宋体" w:cs="宋体"/>
          <w:kern w:val="0"/>
          <w:sz w:val="32"/>
          <w:szCs w:val="32"/>
        </w:rPr>
      </w:pPr>
      <w:r>
        <w:rPr>
          <w:rFonts w:hint="eastAsia" w:ascii="宋体" w:hAnsi="宋体" w:cs="宋体"/>
          <w:kern w:val="0"/>
          <w:sz w:val="32"/>
          <w:szCs w:val="32"/>
        </w:rPr>
        <w:t>四、财政拨款收支总体情况表（预算公开04表）</w:t>
      </w:r>
    </w:p>
    <w:p>
      <w:pPr>
        <w:tabs>
          <w:tab w:val="center" w:pos="4475"/>
        </w:tabs>
        <w:spacing w:line="590" w:lineRule="exact"/>
        <w:ind w:firstLine="640" w:firstLineChars="200"/>
        <w:rPr>
          <w:rFonts w:ascii="宋体" w:hAnsi="宋体" w:cs="宋体"/>
          <w:kern w:val="0"/>
          <w:sz w:val="32"/>
          <w:szCs w:val="32"/>
        </w:rPr>
      </w:pPr>
      <w:r>
        <w:rPr>
          <w:rFonts w:hint="eastAsia" w:ascii="宋体" w:hAnsi="宋体" w:cs="宋体"/>
          <w:kern w:val="0"/>
          <w:sz w:val="32"/>
          <w:szCs w:val="32"/>
        </w:rPr>
        <w:t>五、一般公共预算支出情况表（预算公开05表）</w:t>
      </w:r>
    </w:p>
    <w:p>
      <w:pPr>
        <w:tabs>
          <w:tab w:val="center" w:pos="4475"/>
        </w:tabs>
        <w:spacing w:line="590" w:lineRule="exact"/>
        <w:ind w:firstLine="640" w:firstLineChars="200"/>
        <w:rPr>
          <w:rFonts w:ascii="宋体" w:hAnsi="宋体" w:cs="宋体"/>
          <w:kern w:val="0"/>
          <w:sz w:val="32"/>
          <w:szCs w:val="32"/>
        </w:rPr>
      </w:pPr>
      <w:r>
        <w:rPr>
          <w:rFonts w:hint="eastAsia" w:ascii="宋体" w:hAnsi="宋体" w:cs="宋体"/>
          <w:kern w:val="0"/>
          <w:sz w:val="32"/>
          <w:szCs w:val="32"/>
        </w:rPr>
        <w:t>六、一般公共预算基本支出情况表（预算公开06表）</w:t>
      </w:r>
    </w:p>
    <w:p>
      <w:pPr>
        <w:tabs>
          <w:tab w:val="center" w:pos="4475"/>
        </w:tabs>
        <w:spacing w:line="590" w:lineRule="exact"/>
        <w:ind w:firstLine="640" w:firstLineChars="200"/>
        <w:rPr>
          <w:rFonts w:ascii="宋体" w:hAnsi="宋体" w:cs="宋体"/>
          <w:w w:val="90"/>
          <w:kern w:val="0"/>
          <w:sz w:val="32"/>
          <w:szCs w:val="32"/>
        </w:rPr>
      </w:pPr>
      <w:r>
        <w:rPr>
          <w:rFonts w:hint="eastAsia" w:ascii="宋体" w:hAnsi="宋体" w:cs="宋体"/>
          <w:kern w:val="0"/>
          <w:sz w:val="32"/>
          <w:szCs w:val="32"/>
        </w:rPr>
        <w:t>七、</w:t>
      </w:r>
      <w:r>
        <w:rPr>
          <w:rFonts w:hint="eastAsia" w:ascii="宋体" w:hAnsi="宋体" w:cs="宋体"/>
          <w:w w:val="90"/>
          <w:kern w:val="0"/>
          <w:sz w:val="32"/>
          <w:szCs w:val="32"/>
        </w:rPr>
        <w:t>一般公共预算“三公”经费、会议费和培训费支出情况表（预算公开07表）</w:t>
      </w:r>
    </w:p>
    <w:p>
      <w:pPr>
        <w:tabs>
          <w:tab w:val="center" w:pos="4475"/>
        </w:tabs>
        <w:spacing w:line="590" w:lineRule="exact"/>
        <w:ind w:firstLine="640" w:firstLineChars="200"/>
        <w:rPr>
          <w:rFonts w:ascii="宋体" w:hAnsi="宋体" w:cs="宋体"/>
          <w:kern w:val="0"/>
          <w:sz w:val="32"/>
          <w:szCs w:val="32"/>
        </w:rPr>
      </w:pPr>
      <w:r>
        <w:rPr>
          <w:rFonts w:hint="eastAsia" w:ascii="宋体" w:hAnsi="宋体" w:cs="宋体"/>
          <w:kern w:val="0"/>
          <w:sz w:val="32"/>
          <w:szCs w:val="32"/>
        </w:rPr>
        <w:t>八、政府性基金预算支出情况表（预算公开08表）</w:t>
      </w:r>
    </w:p>
    <w:p>
      <w:pPr>
        <w:tabs>
          <w:tab w:val="center" w:pos="4475"/>
        </w:tabs>
        <w:spacing w:line="590" w:lineRule="exact"/>
        <w:ind w:left="638" w:leftChars="304"/>
        <w:rPr>
          <w:rFonts w:ascii="宋体" w:hAnsi="宋体" w:cs="宋体"/>
          <w:kern w:val="0"/>
          <w:sz w:val="32"/>
          <w:szCs w:val="32"/>
        </w:rPr>
      </w:pPr>
      <w:r>
        <w:rPr>
          <w:rFonts w:hint="eastAsia" w:ascii="宋体" w:hAnsi="宋体" w:cs="宋体"/>
          <w:kern w:val="0"/>
          <w:sz w:val="32"/>
          <w:szCs w:val="32"/>
        </w:rPr>
        <w:t xml:space="preserve">九、国有资本经营预算支出情况表（预算公开09表）    </w:t>
      </w:r>
    </w:p>
    <w:p>
      <w:pPr>
        <w:tabs>
          <w:tab w:val="center" w:pos="4475"/>
        </w:tabs>
        <w:spacing w:line="590" w:lineRule="exact"/>
        <w:ind w:left="638" w:leftChars="304"/>
        <w:rPr>
          <w:rFonts w:ascii="宋体" w:hAnsi="宋体" w:cs="宋体"/>
          <w:kern w:val="0"/>
          <w:sz w:val="32"/>
          <w:szCs w:val="32"/>
        </w:rPr>
      </w:pPr>
      <w:r>
        <w:rPr>
          <w:rFonts w:hint="eastAsia" w:ascii="宋体" w:hAnsi="宋体" w:cs="宋体"/>
          <w:kern w:val="0"/>
          <w:sz w:val="32"/>
          <w:szCs w:val="32"/>
        </w:rPr>
        <w:t>十、预算项目绩效目标公开表（预算公开10表）</w:t>
      </w:r>
    </w:p>
    <w:p>
      <w:pPr>
        <w:spacing w:line="590" w:lineRule="exact"/>
        <w:ind w:firstLine="640" w:firstLineChars="200"/>
        <w:rPr>
          <w:rFonts w:ascii="黑体" w:hAnsi="黑体" w:eastAsia="黑体"/>
          <w:sz w:val="32"/>
          <w:szCs w:val="32"/>
        </w:rPr>
      </w:pPr>
    </w:p>
    <w:p>
      <w:pPr>
        <w:spacing w:line="590" w:lineRule="exact"/>
        <w:ind w:firstLine="640" w:firstLineChars="200"/>
        <w:rPr>
          <w:rFonts w:ascii="黑体" w:hAnsi="黑体" w:eastAsia="黑体"/>
          <w:sz w:val="32"/>
          <w:szCs w:val="32"/>
        </w:rPr>
      </w:pPr>
    </w:p>
    <w:p>
      <w:pPr>
        <w:spacing w:line="590" w:lineRule="exact"/>
        <w:ind w:firstLine="640" w:firstLineChars="200"/>
        <w:rPr>
          <w:rFonts w:ascii="黑体" w:hAnsi="黑体" w:eastAsia="黑体"/>
          <w:sz w:val="32"/>
          <w:szCs w:val="32"/>
        </w:rPr>
      </w:pPr>
    </w:p>
    <w:p>
      <w:pPr>
        <w:spacing w:line="590" w:lineRule="exact"/>
        <w:ind w:firstLine="640" w:firstLineChars="200"/>
        <w:rPr>
          <w:rFonts w:ascii="黑体" w:hAnsi="黑体" w:eastAsia="黑体"/>
          <w:sz w:val="32"/>
          <w:szCs w:val="32"/>
        </w:rPr>
      </w:pPr>
    </w:p>
    <w:p>
      <w:pPr>
        <w:spacing w:line="590" w:lineRule="exact"/>
        <w:ind w:firstLine="640" w:firstLineChars="200"/>
        <w:rPr>
          <w:rFonts w:ascii="黑体" w:hAnsi="黑体" w:eastAsia="黑体"/>
          <w:sz w:val="32"/>
          <w:szCs w:val="32"/>
        </w:rPr>
      </w:pPr>
    </w:p>
    <w:p>
      <w:pPr>
        <w:spacing w:line="590" w:lineRule="exact"/>
        <w:ind w:firstLine="640" w:firstLineChars="200"/>
        <w:rPr>
          <w:rFonts w:ascii="黑体" w:hAnsi="黑体" w:eastAsia="黑体"/>
          <w:sz w:val="32"/>
          <w:szCs w:val="32"/>
        </w:rPr>
      </w:pPr>
    </w:p>
    <w:p>
      <w:pPr>
        <w:spacing w:line="590" w:lineRule="exact"/>
        <w:ind w:firstLine="640" w:firstLineChars="200"/>
        <w:rPr>
          <w:rFonts w:ascii="黑体" w:hAnsi="黑体" w:eastAsia="黑体"/>
          <w:sz w:val="32"/>
          <w:szCs w:val="32"/>
        </w:rPr>
      </w:pPr>
    </w:p>
    <w:p>
      <w:pPr>
        <w:spacing w:line="590" w:lineRule="exact"/>
        <w:ind w:firstLine="640" w:firstLineChars="200"/>
        <w:rPr>
          <w:rFonts w:ascii="黑体" w:hAnsi="黑体" w:eastAsia="黑体"/>
          <w:sz w:val="32"/>
          <w:szCs w:val="32"/>
        </w:rPr>
      </w:pPr>
    </w:p>
    <w:p>
      <w:pPr>
        <w:spacing w:line="590" w:lineRule="exact"/>
        <w:ind w:firstLine="640" w:firstLineChars="200"/>
        <w:rPr>
          <w:rFonts w:ascii="黑体" w:hAnsi="黑体" w:eastAsia="黑体"/>
          <w:sz w:val="32"/>
          <w:szCs w:val="32"/>
        </w:rPr>
      </w:pPr>
    </w:p>
    <w:p>
      <w:pPr>
        <w:spacing w:line="590" w:lineRule="exact"/>
        <w:ind w:firstLine="640" w:firstLineChars="200"/>
        <w:rPr>
          <w:rFonts w:ascii="黑体" w:hAnsi="黑体" w:eastAsia="黑体"/>
          <w:sz w:val="32"/>
          <w:szCs w:val="32"/>
        </w:rPr>
      </w:pPr>
    </w:p>
    <w:p>
      <w:pPr>
        <w:spacing w:line="590" w:lineRule="exact"/>
        <w:ind w:firstLine="640" w:firstLineChars="200"/>
        <w:rPr>
          <w:rFonts w:ascii="黑体" w:hAnsi="黑体" w:eastAsia="黑体"/>
          <w:sz w:val="32"/>
          <w:szCs w:val="32"/>
        </w:rPr>
      </w:pPr>
    </w:p>
    <w:p>
      <w:pPr>
        <w:spacing w:line="590" w:lineRule="exact"/>
        <w:jc w:val="center"/>
        <w:rPr>
          <w:rFonts w:ascii="仿宋" w:hAnsi="仿宋" w:eastAsia="黑体" w:cs="宋体"/>
          <w:kern w:val="0"/>
          <w:sz w:val="32"/>
          <w:szCs w:val="32"/>
        </w:rPr>
      </w:pPr>
      <w:r>
        <w:rPr>
          <w:rFonts w:hint="eastAsia" w:ascii="黑体" w:hAnsi="黑体" w:eastAsia="黑体"/>
          <w:sz w:val="32"/>
          <w:szCs w:val="32"/>
        </w:rPr>
        <w:t>第一部分：自治区救灾物资储备中心概况</w:t>
      </w:r>
    </w:p>
    <w:p>
      <w:pPr>
        <w:pStyle w:val="7"/>
        <w:shd w:val="clear" w:color="auto" w:fill="FFFFFF"/>
        <w:spacing w:before="0" w:beforeAutospacing="0" w:after="0" w:afterAutospacing="0" w:line="590" w:lineRule="exact"/>
        <w:ind w:firstLine="630"/>
        <w:rPr>
          <w:rStyle w:val="10"/>
          <w:rFonts w:ascii="黑体" w:hAnsi="黑体" w:eastAsia="黑体"/>
          <w:b w:val="0"/>
          <w:bCs w:val="0"/>
          <w:sz w:val="32"/>
          <w:szCs w:val="32"/>
        </w:rPr>
      </w:pPr>
      <w:r>
        <w:rPr>
          <w:rStyle w:val="10"/>
          <w:rFonts w:hint="eastAsia" w:ascii="黑体" w:hAnsi="黑体" w:eastAsia="黑体"/>
          <w:b w:val="0"/>
          <w:bCs w:val="0"/>
          <w:sz w:val="32"/>
          <w:szCs w:val="32"/>
        </w:rPr>
        <w:t>一、主要职责</w:t>
      </w:r>
    </w:p>
    <w:p>
      <w:pPr>
        <w:pStyle w:val="7"/>
        <w:shd w:val="clear" w:color="auto" w:fill="FFFFFF"/>
        <w:spacing w:before="0" w:beforeAutospacing="0" w:after="0" w:afterAutospacing="0" w:line="590" w:lineRule="exact"/>
        <w:ind w:firstLine="645"/>
        <w:jc w:val="both"/>
        <w:rPr>
          <w:sz w:val="32"/>
          <w:szCs w:val="32"/>
        </w:rPr>
      </w:pPr>
      <w:r>
        <w:rPr>
          <w:rFonts w:hint="eastAsia"/>
          <w:sz w:val="32"/>
          <w:szCs w:val="32"/>
        </w:rPr>
        <w:t>广西壮族自治区救灾物资储备中心是自治区粮食和物资储备局直属正处级公益一类事业单位。根据《自治区党委编办关于调整自治区粮食和物资储备局所属事业单位机构编制事项的批复》（桂编办复〔2019〕62号）精神，广西壮族自治区救灾物资储备中心主要职责为：承担中央级救灾物资储备管理及自治区本级救灾物资的采购、储备、调运等事务性工作；负责防汛抗旱物资仓储管理和代管中央防汛抗旱物资贵港仓库；协助救灾物资储备管理工作；协助救灾物资储备库建设、管理工作。</w:t>
      </w:r>
    </w:p>
    <w:p>
      <w:pPr>
        <w:spacing w:line="590" w:lineRule="exact"/>
        <w:ind w:left="640"/>
        <w:rPr>
          <w:rFonts w:ascii="黑体" w:hAnsi="黑体" w:eastAsia="黑体" w:cs="宋体"/>
          <w:kern w:val="0"/>
          <w:sz w:val="32"/>
          <w:szCs w:val="32"/>
        </w:rPr>
      </w:pPr>
      <w:r>
        <w:rPr>
          <w:rFonts w:hint="eastAsia" w:ascii="黑体" w:hAnsi="黑体" w:eastAsia="黑体" w:cs="宋体"/>
          <w:kern w:val="0"/>
          <w:sz w:val="32"/>
          <w:szCs w:val="32"/>
        </w:rPr>
        <w:t>二、机构、人员构成情况</w:t>
      </w:r>
    </w:p>
    <w:p>
      <w:pPr>
        <w:spacing w:line="580" w:lineRule="exact"/>
        <w:ind w:firstLine="627" w:firstLineChars="196"/>
        <w:rPr>
          <w:rFonts w:ascii="宋体" w:hAnsi="宋体" w:cs="宋体"/>
          <w:kern w:val="0"/>
          <w:sz w:val="32"/>
          <w:szCs w:val="32"/>
        </w:rPr>
      </w:pPr>
      <w:r>
        <w:rPr>
          <w:rFonts w:hint="eastAsia" w:ascii="宋体" w:hAnsi="宋体" w:cs="宋体"/>
          <w:kern w:val="0"/>
          <w:sz w:val="32"/>
          <w:szCs w:val="32"/>
        </w:rPr>
        <w:t>我中心包括预算部门1个，为广西壮族自治区救灾物资储备中心，属全额财政拨款公益一类事业单位，设有办公室（党办）、财务科、物资管理科、仓储安全科等部门。</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根据《自治区党委编办关于调整自治区粮食和物资储备局所属事业单位机构编制事项的批复》（桂编办复〔2019〕62号），中心核定全额拨款事业编制17名，截止2023年底，在职在编人员15人。</w:t>
      </w:r>
    </w:p>
    <w:p>
      <w:pPr>
        <w:pStyle w:val="7"/>
        <w:shd w:val="clear" w:color="auto" w:fill="FFFFFF"/>
        <w:spacing w:before="0" w:beforeAutospacing="0" w:after="0" w:afterAutospacing="0" w:line="590" w:lineRule="exact"/>
        <w:rPr>
          <w:rStyle w:val="10"/>
          <w:rFonts w:ascii="黑体" w:hAnsi="黑体" w:eastAsia="黑体"/>
          <w:b w:val="0"/>
          <w:bCs w:val="0"/>
          <w:sz w:val="32"/>
          <w:szCs w:val="32"/>
        </w:rPr>
      </w:pPr>
    </w:p>
    <w:p>
      <w:pPr>
        <w:pStyle w:val="7"/>
        <w:shd w:val="clear" w:color="auto" w:fill="FFFFFF"/>
        <w:spacing w:before="0" w:beforeAutospacing="0" w:after="0" w:afterAutospacing="0" w:line="590" w:lineRule="exact"/>
        <w:jc w:val="center"/>
        <w:rPr>
          <w:rStyle w:val="10"/>
          <w:rFonts w:ascii="黑体" w:hAnsi="黑体" w:eastAsia="黑体"/>
          <w:b w:val="0"/>
          <w:bCs w:val="0"/>
          <w:sz w:val="32"/>
          <w:szCs w:val="32"/>
        </w:rPr>
      </w:pPr>
      <w:r>
        <w:rPr>
          <w:rFonts w:hint="eastAsia" w:ascii="黑体" w:hAnsi="黑体" w:eastAsia="黑体"/>
          <w:sz w:val="32"/>
          <w:szCs w:val="32"/>
          <w:shd w:val="clear" w:color="auto" w:fill="FFFFFF"/>
        </w:rPr>
        <w:t>第二部分：</w:t>
      </w:r>
      <w:r>
        <w:rPr>
          <w:rFonts w:hint="eastAsia" w:ascii="黑体" w:hAnsi="黑体" w:eastAsia="黑体"/>
          <w:w w:val="90"/>
          <w:sz w:val="32"/>
          <w:szCs w:val="32"/>
        </w:rPr>
        <w:t>自治区救灾物资储备中心</w:t>
      </w:r>
      <w:r>
        <w:rPr>
          <w:rFonts w:hint="eastAsia" w:ascii="黑体" w:hAnsi="黑体" w:eastAsia="黑体"/>
          <w:w w:val="90"/>
          <w:sz w:val="32"/>
          <w:szCs w:val="32"/>
          <w:shd w:val="clear" w:color="auto" w:fill="FFFFFF"/>
        </w:rPr>
        <w:t>2024年部门预算情况说明</w:t>
      </w:r>
    </w:p>
    <w:p>
      <w:pPr>
        <w:pStyle w:val="7"/>
        <w:shd w:val="clear" w:color="auto" w:fill="FFFFFF"/>
        <w:spacing w:before="0" w:beforeAutospacing="0" w:after="0" w:afterAutospacing="0" w:line="590" w:lineRule="exact"/>
        <w:ind w:firstLine="630"/>
        <w:rPr>
          <w:rStyle w:val="10"/>
          <w:rFonts w:ascii="黑体" w:hAnsi="黑体" w:eastAsia="黑体"/>
          <w:b w:val="0"/>
          <w:bCs w:val="0"/>
          <w:sz w:val="32"/>
          <w:szCs w:val="32"/>
        </w:rPr>
      </w:pPr>
      <w:r>
        <w:rPr>
          <w:rStyle w:val="10"/>
          <w:rFonts w:hint="eastAsia" w:ascii="黑体" w:hAnsi="黑体" w:eastAsia="黑体"/>
          <w:b w:val="0"/>
          <w:bCs w:val="0"/>
          <w:sz w:val="32"/>
          <w:szCs w:val="32"/>
        </w:rPr>
        <w:t>一、部门收支预算总体情况说明</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我中心2024年总收入947.45万元，总支出947.45万元（不含财政拨款上年未列支结算收支数）。总收入较上年增加18.14万元，增长1.95%，主要原因是人员工资、社保费用的正常增长。总支出较上年增加18.14万元，增长1.95%，主要原因是人员工资、社保费用支出的正常增长。</w:t>
      </w:r>
    </w:p>
    <w:p>
      <w:pPr>
        <w:pStyle w:val="7"/>
        <w:shd w:val="clear" w:color="auto" w:fill="FFFFFF"/>
        <w:spacing w:before="0" w:beforeAutospacing="0" w:after="0" w:afterAutospacing="0" w:line="590" w:lineRule="exact"/>
        <w:ind w:firstLine="630"/>
        <w:rPr>
          <w:rFonts w:ascii="微软雅黑" w:hAnsi="微软雅黑" w:eastAsia="黑体"/>
          <w:b/>
          <w:bCs/>
          <w:sz w:val="32"/>
          <w:szCs w:val="32"/>
        </w:rPr>
      </w:pPr>
      <w:r>
        <w:rPr>
          <w:rStyle w:val="10"/>
          <w:rFonts w:hint="eastAsia" w:ascii="黑体" w:hAnsi="黑体" w:eastAsia="黑体"/>
          <w:b w:val="0"/>
          <w:bCs w:val="0"/>
          <w:sz w:val="32"/>
          <w:szCs w:val="32"/>
        </w:rPr>
        <w:t>二、部门收入总体情况说明</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我中心总收入947.45万元，较上年增加18.14万元，增长1.95%，主要原因是人员工资、社保费用的正常增长。其中：</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（一）一般公共预算拨款947.45万元，较上年增加18.14万元，增长1.95%，主要原因是人员工资、社保费用的正常增长。</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（二）政府性基金预算拨款为0，与上年一致。</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（三）国有资本经营预算拨款为0，与上年一致。</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（四）财政专户管理的收入安排的资金为0，与上年一致。</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（五）事业收入为0，与上年一致。</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（六）其他收入为0，与上年一致。</w:t>
      </w:r>
    </w:p>
    <w:p>
      <w:pPr>
        <w:pStyle w:val="7"/>
        <w:shd w:val="clear" w:color="auto" w:fill="FFFFFF"/>
        <w:spacing w:before="0" w:beforeAutospacing="0" w:after="0" w:afterAutospacing="0" w:line="590" w:lineRule="exact"/>
        <w:ind w:firstLine="630"/>
        <w:rPr>
          <w:rFonts w:ascii="微软雅黑" w:hAnsi="微软雅黑" w:eastAsia="微软雅黑"/>
          <w:b/>
          <w:bCs/>
          <w:sz w:val="32"/>
          <w:szCs w:val="32"/>
        </w:rPr>
      </w:pPr>
      <w:r>
        <w:rPr>
          <w:rStyle w:val="10"/>
          <w:rFonts w:hint="eastAsia" w:ascii="黑体" w:hAnsi="黑体" w:eastAsia="黑体"/>
          <w:b w:val="0"/>
          <w:bCs w:val="0"/>
          <w:sz w:val="32"/>
          <w:szCs w:val="32"/>
        </w:rPr>
        <w:t>三、部门支出总体情况说明</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我中心总支出947.45万元，较上年增加18.14万元，增长1.95%，主要原因是人员工资、社保费用支出的正常增长。</w:t>
      </w:r>
    </w:p>
    <w:p>
      <w:pPr>
        <w:pStyle w:val="7"/>
        <w:shd w:val="clear" w:color="auto" w:fill="FFFFFF"/>
        <w:spacing w:before="0" w:beforeAutospacing="0" w:after="0" w:afterAutospacing="0" w:line="590" w:lineRule="exact"/>
        <w:ind w:firstLine="630"/>
        <w:rPr>
          <w:rFonts w:ascii="微软雅黑" w:hAnsi="微软雅黑" w:eastAsia="楷体"/>
          <w:sz w:val="32"/>
          <w:szCs w:val="32"/>
        </w:rPr>
      </w:pPr>
      <w:r>
        <w:rPr>
          <w:rStyle w:val="10"/>
          <w:rFonts w:hint="eastAsia" w:ascii="楷体" w:hAnsi="楷体" w:eastAsia="楷体" w:cs="楷体"/>
          <w:b w:val="0"/>
          <w:bCs w:val="0"/>
          <w:sz w:val="32"/>
          <w:szCs w:val="32"/>
        </w:rPr>
        <w:t>（一）按支出功能分类科目划分，共分为四类。</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1.社会保障和就业支出54.24万元，占本年支出预算5.73%，同比增加6.84万元，增长14.43%。</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2.卫生健康支出16.72万元，占本年支出预算1.76%，同比增加2.1万元，增长14.36%。</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3.住房保障支出27.12万元，23.70万元，占本年支出预算2.86%，同比增加3.42万元，增长14.43%。</w:t>
      </w:r>
    </w:p>
    <w:p>
      <w:pPr>
        <w:pStyle w:val="7"/>
        <w:shd w:val="clear" w:color="auto" w:fill="FFFFFF"/>
        <w:spacing w:before="0" w:beforeAutospacing="0" w:after="0" w:afterAutospacing="0" w:line="590" w:lineRule="exact"/>
        <w:ind w:firstLine="630"/>
        <w:jc w:val="both"/>
        <w:rPr>
          <w:rFonts w:ascii="仿宋" w:hAnsi="仿宋" w:eastAsia="仿宋"/>
          <w:sz w:val="32"/>
          <w:szCs w:val="32"/>
        </w:rPr>
      </w:pPr>
      <w:r>
        <w:rPr>
          <w:rFonts w:hint="eastAsia"/>
          <w:sz w:val="32"/>
          <w:szCs w:val="32"/>
        </w:rPr>
        <w:t>4.粮油物资储备支出849.37万元，843.59万元，占支出总预算89.65%，同比增加5.78万元，增长0.69%。</w:t>
      </w:r>
    </w:p>
    <w:p>
      <w:pPr>
        <w:pStyle w:val="7"/>
        <w:shd w:val="clear" w:color="auto" w:fill="FFFFFF"/>
        <w:spacing w:before="0" w:beforeAutospacing="0" w:after="0" w:afterAutospacing="0" w:line="590" w:lineRule="exact"/>
        <w:rPr>
          <w:rFonts w:ascii="楷体" w:hAnsi="楷体" w:eastAsia="楷体" w:cs="楷体"/>
          <w:sz w:val="32"/>
          <w:szCs w:val="32"/>
        </w:rPr>
      </w:pPr>
      <w:r>
        <w:rPr>
          <w:rStyle w:val="10"/>
          <w:rFonts w:hint="eastAsia" w:ascii="仿宋" w:hAnsi="仿宋" w:eastAsia="仿宋"/>
          <w:sz w:val="32"/>
          <w:szCs w:val="32"/>
        </w:rPr>
        <w:t>  </w:t>
      </w:r>
      <w:r>
        <w:rPr>
          <w:rStyle w:val="10"/>
          <w:rFonts w:hint="eastAsia" w:ascii="仿宋" w:hAnsi="仿宋" w:eastAsia="仿宋"/>
          <w:b w:val="0"/>
          <w:bCs w:val="0"/>
          <w:sz w:val="32"/>
          <w:szCs w:val="32"/>
        </w:rPr>
        <w:t> </w:t>
      </w:r>
      <w:r>
        <w:rPr>
          <w:rStyle w:val="10"/>
          <w:rFonts w:hint="eastAsia" w:ascii="楷体" w:hAnsi="楷体" w:eastAsia="楷体" w:cs="楷体"/>
          <w:b w:val="0"/>
          <w:bCs w:val="0"/>
          <w:sz w:val="32"/>
          <w:szCs w:val="32"/>
        </w:rPr>
        <w:t>（二）按支出结构分类划分，分为基本支出和项目支出预算。</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1.基本支出预算411.91，占总支出预算43.48%，同比增加78.17万元，增长23.42%。</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（1）工资福利支出预算362.86万元，占基本支出预算88.09%，同比增加74.61万元, 增长25.88%；</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（2）商品和服务支出预算35.95万元，占基本支出预算8.73%，同比增加0.33万元, 增长0.93%；</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（3）对个人和家庭的补助支出预算13.10万元，占基本支出预算3.18%，同比增加3.23万元, 增长32.73%。</w:t>
      </w:r>
    </w:p>
    <w:p>
      <w:pPr>
        <w:autoSpaceDE w:val="0"/>
        <w:autoSpaceDN w:val="0"/>
        <w:adjustRightInd w:val="0"/>
        <w:spacing w:line="630" w:lineRule="exact"/>
        <w:ind w:firstLine="640" w:firstLineChars="200"/>
        <w:rPr>
          <w:rFonts w:ascii="宋体" w:hAnsi="宋体" w:cs="宋体"/>
          <w:kern w:val="0"/>
          <w:sz w:val="32"/>
          <w:szCs w:val="32"/>
        </w:rPr>
      </w:pPr>
      <w:r>
        <w:rPr>
          <w:rFonts w:hint="eastAsia" w:ascii="宋体" w:hAnsi="宋体" w:cs="宋体"/>
          <w:kern w:val="0"/>
          <w:sz w:val="32"/>
          <w:szCs w:val="32"/>
        </w:rPr>
        <w:t>基本支出增加的原因主要是根据财政要求将原编入项目支出的聘用人员工资社保等经费编入基本支出。</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2.项目支出预算535.54万元，占支出总预算56.52%，同比减少60.03万元，下降10.08%。</w:t>
      </w:r>
    </w:p>
    <w:p>
      <w:pPr>
        <w:autoSpaceDE w:val="0"/>
        <w:autoSpaceDN w:val="0"/>
        <w:adjustRightInd w:val="0"/>
        <w:spacing w:line="630" w:lineRule="exact"/>
        <w:ind w:firstLine="640" w:firstLineChars="200"/>
        <w:rPr>
          <w:rFonts w:ascii="宋体" w:hAnsi="宋体" w:cs="宋体"/>
          <w:kern w:val="0"/>
          <w:sz w:val="32"/>
          <w:szCs w:val="32"/>
        </w:rPr>
      </w:pPr>
      <w:r>
        <w:rPr>
          <w:rFonts w:hint="eastAsia" w:ascii="宋体" w:hAnsi="宋体" w:cs="宋体"/>
          <w:kern w:val="0"/>
          <w:sz w:val="32"/>
          <w:szCs w:val="32"/>
        </w:rPr>
        <w:t>项目支出减少的原因主要是根据财政要求将原编入项目支出的聘用人员工资社保等经费编入基本支出。</w:t>
      </w:r>
    </w:p>
    <w:p>
      <w:pPr>
        <w:pStyle w:val="7"/>
        <w:shd w:val="clear" w:color="auto" w:fill="FFFFFF"/>
        <w:spacing w:before="0" w:beforeAutospacing="0" w:after="0" w:afterAutospacing="0" w:line="590" w:lineRule="exact"/>
        <w:ind w:firstLine="630"/>
        <w:rPr>
          <w:rFonts w:ascii="微软雅黑" w:hAnsi="微软雅黑" w:eastAsia="微软雅黑"/>
          <w:b/>
          <w:bCs/>
          <w:sz w:val="32"/>
          <w:szCs w:val="32"/>
        </w:rPr>
      </w:pPr>
      <w:r>
        <w:rPr>
          <w:rStyle w:val="10"/>
          <w:rFonts w:hint="eastAsia" w:ascii="黑体" w:hAnsi="黑体" w:eastAsia="黑体"/>
          <w:b w:val="0"/>
          <w:bCs w:val="0"/>
          <w:sz w:val="32"/>
          <w:szCs w:val="32"/>
        </w:rPr>
        <w:t>四、财政拨款收支总体情况说明</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2024年财政拨款总收入947.45万元，总支出947.45万元（不含财政拨款上年未列支结算收支数）。总收入较上年增加18.14万元，增长1.95%，主要原因是人员工资、社保费用的正常增长。总支出较上年增加18.14万元，增长1.95%，主要原因是人员工资、社保费用支出的正常增长。</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包括：社会保障和就业支出54.24万元、卫生健康支出16.72万元、住房保障支出27.12万元、粮油物资储备支出849.37万元。</w:t>
      </w:r>
    </w:p>
    <w:p>
      <w:pPr>
        <w:pStyle w:val="7"/>
        <w:shd w:val="clear" w:color="auto" w:fill="FFFFFF"/>
        <w:spacing w:before="0" w:beforeAutospacing="0" w:after="0" w:afterAutospacing="0" w:line="590" w:lineRule="exact"/>
        <w:ind w:firstLine="630"/>
        <w:rPr>
          <w:rFonts w:ascii="微软雅黑" w:hAnsi="微软雅黑" w:eastAsia="微软雅黑"/>
          <w:b/>
          <w:bCs/>
          <w:sz w:val="32"/>
          <w:szCs w:val="32"/>
        </w:rPr>
      </w:pPr>
      <w:r>
        <w:rPr>
          <w:rStyle w:val="10"/>
          <w:rFonts w:hint="eastAsia" w:ascii="黑体" w:hAnsi="黑体" w:eastAsia="黑体"/>
          <w:b w:val="0"/>
          <w:bCs w:val="0"/>
          <w:sz w:val="32"/>
          <w:szCs w:val="32"/>
        </w:rPr>
        <w:t>五、一般公共预算支出情况说明</w:t>
      </w:r>
    </w:p>
    <w:p>
      <w:pPr>
        <w:spacing w:line="590" w:lineRule="exact"/>
        <w:ind w:firstLine="640" w:firstLineChars="200"/>
        <w:rPr>
          <w:rFonts w:ascii="宋体" w:hAnsi="宋体" w:cs="宋体"/>
          <w:sz w:val="32"/>
          <w:szCs w:val="32"/>
        </w:rPr>
      </w:pPr>
      <w:r>
        <w:rPr>
          <w:rFonts w:hint="eastAsia" w:ascii="宋体" w:hAnsi="宋体" w:cs="宋体"/>
          <w:kern w:val="0"/>
          <w:sz w:val="32"/>
          <w:szCs w:val="32"/>
        </w:rPr>
        <w:t>我中心2024年一般公共预算支出947.45万元，较上年增加18.14万元，增长1.95%，主要原因是人员工资、社保费用支出的正常增长。按照功能分类项级科目细分，具体情况为：</w:t>
      </w:r>
    </w:p>
    <w:p>
      <w:pPr>
        <w:spacing w:line="590" w:lineRule="exact"/>
        <w:ind w:firstLine="640" w:firstLineChars="200"/>
        <w:rPr>
          <w:rFonts w:ascii="宋体" w:hAnsi="宋体" w:cs="宋体"/>
          <w:kern w:val="0"/>
          <w:sz w:val="32"/>
          <w:szCs w:val="32"/>
        </w:rPr>
      </w:pPr>
      <w:r>
        <w:rPr>
          <w:rFonts w:hint="eastAsia" w:ascii="宋体" w:hAnsi="宋体" w:cs="宋体"/>
          <w:kern w:val="0"/>
          <w:sz w:val="32"/>
          <w:szCs w:val="32"/>
        </w:rPr>
        <w:t>（一）2080505机关事业单位基本养老保险缴费36.16万元，全部是基本支出预算。主要用于支付单位在职职工的单位养老保险费用。</w:t>
      </w:r>
    </w:p>
    <w:p>
      <w:pPr>
        <w:pStyle w:val="7"/>
        <w:shd w:val="clear" w:color="auto" w:fill="FFFFFF"/>
        <w:spacing w:before="0" w:beforeAutospacing="0" w:after="0" w:afterAutospacing="0" w:line="590" w:lineRule="exact"/>
        <w:ind w:firstLine="630"/>
        <w:jc w:val="both"/>
        <w:rPr>
          <w:rStyle w:val="10"/>
          <w:sz w:val="32"/>
          <w:szCs w:val="32"/>
        </w:rPr>
      </w:pPr>
      <w:r>
        <w:rPr>
          <w:rFonts w:hint="eastAsia"/>
          <w:sz w:val="32"/>
          <w:szCs w:val="32"/>
        </w:rPr>
        <w:t xml:space="preserve">（二）2080506机关事业单位职业年金缴费18.08万元，全部是基本支出预算。主要用于支付单位在职职工单位职业年金费用。 </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（三）2101102事业单位医疗16.72万元，全部是基本支出预算。根据自治区统一规定，按事业单位在职职工工资总额的一定比例计缴的医疗保险。</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（四）2210201住房公积金27.12万元，全部是基本支出预算。用于按照国家统一规定，为单位职工缴住房公积金。</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五）2220150事业运行313.83万元，全部是基本支出预算。主要用于国家规定的基本工资和津补贴标准等安排的人员经费支出、按自治区统一规定的开支标准安排的办公费、印刷费、水电费、培训费、差旅费、会议费等日常公用经费支出。</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（六）2220199其他粮油物资事务支出535.54万元，全部是项目支出预算。主要用于应急救灾物资储备管理、物业管理等日常工作经费。</w:t>
      </w:r>
    </w:p>
    <w:p>
      <w:pPr>
        <w:pStyle w:val="7"/>
        <w:shd w:val="clear" w:color="auto" w:fill="FFFFFF"/>
        <w:spacing w:before="0" w:beforeAutospacing="0" w:after="0" w:afterAutospacing="0" w:line="590" w:lineRule="exact"/>
        <w:ind w:firstLine="630"/>
        <w:rPr>
          <w:rFonts w:ascii="微软雅黑" w:hAnsi="微软雅黑" w:eastAsia="微软雅黑"/>
          <w:b/>
          <w:bCs/>
          <w:sz w:val="32"/>
          <w:szCs w:val="32"/>
        </w:rPr>
      </w:pPr>
      <w:r>
        <w:rPr>
          <w:rStyle w:val="10"/>
          <w:rFonts w:hint="eastAsia" w:ascii="黑体" w:hAnsi="黑体" w:eastAsia="黑体"/>
          <w:b w:val="0"/>
          <w:bCs w:val="0"/>
          <w:sz w:val="32"/>
          <w:szCs w:val="32"/>
        </w:rPr>
        <w:t>六、一般公共预算基本支出情况说明</w:t>
      </w:r>
    </w:p>
    <w:p>
      <w:pPr>
        <w:autoSpaceDE w:val="0"/>
        <w:autoSpaceDN w:val="0"/>
        <w:adjustRightInd w:val="0"/>
        <w:spacing w:line="630" w:lineRule="exact"/>
        <w:ind w:firstLine="640" w:firstLineChars="200"/>
        <w:rPr>
          <w:rFonts w:ascii="宋体" w:hAnsi="宋体" w:cs="宋体"/>
          <w:kern w:val="0"/>
          <w:sz w:val="32"/>
          <w:szCs w:val="32"/>
        </w:rPr>
      </w:pPr>
      <w:r>
        <w:rPr>
          <w:rFonts w:hint="eastAsia" w:ascii="宋体" w:hAnsi="宋体" w:cs="宋体"/>
          <w:kern w:val="0"/>
          <w:sz w:val="32"/>
          <w:szCs w:val="32"/>
        </w:rPr>
        <w:t>我中心一般公共预算基本支出411.91万元，较上年增加78.17万元，增长23.42%。主要原因是根据财政要求将原编入项目支出的聘用人员工资社保等经费编入基本支出。具体情况为：</w:t>
      </w:r>
    </w:p>
    <w:p>
      <w:pPr>
        <w:pStyle w:val="7"/>
        <w:shd w:val="clear" w:color="auto" w:fill="FFFFFF"/>
        <w:spacing w:before="0" w:beforeAutospacing="0" w:after="0" w:afterAutospacing="0" w:line="590" w:lineRule="exact"/>
        <w:ind w:firstLine="630"/>
        <w:jc w:val="both"/>
        <w:rPr>
          <w:rStyle w:val="10"/>
          <w:b w:val="0"/>
          <w:bCs w:val="0"/>
          <w:sz w:val="32"/>
          <w:szCs w:val="32"/>
        </w:rPr>
      </w:pPr>
    </w:p>
    <w:p>
      <w:pPr>
        <w:spacing w:line="540" w:lineRule="exact"/>
        <w:ind w:firstLine="627" w:firstLineChars="196"/>
        <w:rPr>
          <w:rFonts w:ascii="宋体" w:hAnsi="宋体" w:cs="宋体"/>
          <w:sz w:val="32"/>
          <w:szCs w:val="32"/>
        </w:rPr>
      </w:pPr>
      <w:r>
        <w:rPr>
          <w:rFonts w:hint="eastAsia" w:ascii="宋体" w:hAnsi="宋体" w:cs="宋体"/>
          <w:sz w:val="32"/>
          <w:szCs w:val="32"/>
        </w:rPr>
        <w:t>30101基本工资73.59万元。全部为人员经费。主要用于在职职工基本工资。</w:t>
      </w:r>
    </w:p>
    <w:p>
      <w:pPr>
        <w:spacing w:line="540" w:lineRule="exact"/>
        <w:ind w:firstLine="627" w:firstLineChars="196"/>
        <w:rPr>
          <w:rFonts w:ascii="宋体" w:hAnsi="宋体" w:cs="宋体"/>
          <w:sz w:val="32"/>
          <w:szCs w:val="32"/>
        </w:rPr>
      </w:pPr>
      <w:r>
        <w:rPr>
          <w:rFonts w:hint="eastAsia" w:ascii="宋体" w:hAnsi="宋体" w:cs="宋体"/>
          <w:sz w:val="32"/>
          <w:szCs w:val="32"/>
        </w:rPr>
        <w:t>30102津贴补贴3.02万元。全部为人员费用。主要用于在职职工津贴补贴。</w:t>
      </w:r>
    </w:p>
    <w:p>
      <w:pPr>
        <w:spacing w:line="540" w:lineRule="exact"/>
        <w:ind w:firstLine="627" w:firstLineChars="196"/>
        <w:rPr>
          <w:rFonts w:ascii="宋体" w:hAnsi="宋体" w:cs="宋体"/>
          <w:sz w:val="32"/>
          <w:szCs w:val="32"/>
        </w:rPr>
      </w:pPr>
      <w:r>
        <w:rPr>
          <w:rFonts w:hint="eastAsia" w:ascii="宋体" w:hAnsi="宋体" w:cs="宋体"/>
          <w:sz w:val="32"/>
          <w:szCs w:val="32"/>
        </w:rPr>
        <w:t>30103奖金0.75万元。全部为人员费用。主要用于在职职工奖金。</w:t>
      </w:r>
    </w:p>
    <w:p>
      <w:pPr>
        <w:spacing w:line="540" w:lineRule="exact"/>
        <w:ind w:firstLine="627" w:firstLineChars="196"/>
        <w:rPr>
          <w:rFonts w:ascii="宋体" w:hAnsi="宋体" w:cs="宋体"/>
          <w:sz w:val="32"/>
          <w:szCs w:val="32"/>
        </w:rPr>
      </w:pPr>
      <w:r>
        <w:rPr>
          <w:rFonts w:hint="eastAsia" w:ascii="宋体" w:hAnsi="宋体" w:cs="宋体"/>
          <w:sz w:val="32"/>
          <w:szCs w:val="32"/>
        </w:rPr>
        <w:t>30107绩效工资152.40万元。全部为人员经费。主要用于在职职工绩效工资。</w:t>
      </w:r>
    </w:p>
    <w:p>
      <w:pPr>
        <w:spacing w:line="540" w:lineRule="exact"/>
        <w:ind w:firstLine="627" w:firstLineChars="196"/>
        <w:rPr>
          <w:rFonts w:ascii="宋体" w:hAnsi="宋体" w:cs="宋体"/>
          <w:sz w:val="32"/>
          <w:szCs w:val="32"/>
        </w:rPr>
      </w:pPr>
      <w:r>
        <w:rPr>
          <w:rFonts w:hint="eastAsia" w:ascii="宋体" w:hAnsi="宋体" w:cs="宋体"/>
          <w:sz w:val="32"/>
          <w:szCs w:val="32"/>
        </w:rPr>
        <w:t>30108机关事业单位基本养老保险缴费36.16万元。全部为人员费用。主要用于在职职工根据规定计缴的基本养老保险费用。</w:t>
      </w:r>
    </w:p>
    <w:p>
      <w:pPr>
        <w:spacing w:line="540" w:lineRule="exact"/>
        <w:ind w:firstLine="627" w:firstLineChars="196"/>
        <w:rPr>
          <w:rFonts w:ascii="宋体" w:hAnsi="宋体" w:cs="宋体"/>
          <w:sz w:val="32"/>
          <w:szCs w:val="32"/>
        </w:rPr>
      </w:pPr>
      <w:r>
        <w:rPr>
          <w:rFonts w:hint="eastAsia" w:ascii="宋体" w:hAnsi="宋体" w:cs="宋体"/>
          <w:sz w:val="32"/>
          <w:szCs w:val="32"/>
        </w:rPr>
        <w:t>30109职业年金缴费18.08万元。全部为人员费用。主要用于在职职工根据规定计缴的职业年金费用。</w:t>
      </w:r>
    </w:p>
    <w:p>
      <w:pPr>
        <w:spacing w:line="540" w:lineRule="exact"/>
        <w:ind w:firstLine="627" w:firstLineChars="196"/>
        <w:rPr>
          <w:rFonts w:ascii="宋体" w:hAnsi="宋体" w:cs="宋体"/>
          <w:sz w:val="32"/>
          <w:szCs w:val="32"/>
        </w:rPr>
      </w:pPr>
      <w:r>
        <w:rPr>
          <w:rFonts w:hint="eastAsia" w:ascii="宋体" w:hAnsi="宋体" w:cs="宋体"/>
          <w:sz w:val="32"/>
          <w:szCs w:val="32"/>
        </w:rPr>
        <w:t>30110职工基本医疗保险缴费16.72万元。全部为人员费用。主要用于在职职工根据规定计缴的职工基本医疗保险费用。</w:t>
      </w:r>
    </w:p>
    <w:p>
      <w:pPr>
        <w:spacing w:line="540" w:lineRule="exact"/>
        <w:ind w:firstLine="627" w:firstLineChars="196"/>
        <w:rPr>
          <w:rFonts w:ascii="宋体" w:hAnsi="宋体" w:cs="宋体"/>
          <w:sz w:val="32"/>
          <w:szCs w:val="32"/>
        </w:rPr>
      </w:pPr>
      <w:r>
        <w:rPr>
          <w:rFonts w:hint="eastAsia" w:ascii="宋体" w:hAnsi="宋体" w:cs="宋体"/>
          <w:sz w:val="32"/>
          <w:szCs w:val="32"/>
        </w:rPr>
        <w:t>30112其他社会保障缴费1.58万元。全部为人员费用。主要用于在职职工根据规定计缴的工伤、失业等保险费用。</w:t>
      </w:r>
    </w:p>
    <w:p>
      <w:pPr>
        <w:spacing w:line="540" w:lineRule="exact"/>
        <w:ind w:firstLine="627" w:firstLineChars="196"/>
        <w:rPr>
          <w:rFonts w:ascii="宋体" w:hAnsi="宋体" w:cs="宋体"/>
          <w:sz w:val="32"/>
          <w:szCs w:val="32"/>
        </w:rPr>
      </w:pPr>
      <w:r>
        <w:rPr>
          <w:rFonts w:hint="eastAsia" w:ascii="宋体" w:hAnsi="宋体" w:cs="宋体"/>
          <w:sz w:val="32"/>
          <w:szCs w:val="32"/>
        </w:rPr>
        <w:t>30113住房公积金27.12万元。全部为人员费用。主要用于在职职工根据规定计缴职工住房公积金。</w:t>
      </w:r>
    </w:p>
    <w:p>
      <w:pPr>
        <w:spacing w:line="540" w:lineRule="exact"/>
        <w:ind w:firstLine="627" w:firstLineChars="196"/>
        <w:rPr>
          <w:rFonts w:ascii="宋体" w:hAnsi="宋体" w:cs="宋体"/>
          <w:sz w:val="32"/>
          <w:szCs w:val="32"/>
        </w:rPr>
      </w:pPr>
      <w:r>
        <w:rPr>
          <w:rFonts w:hint="eastAsia" w:ascii="宋体" w:hAnsi="宋体" w:cs="宋体"/>
          <w:sz w:val="32"/>
          <w:szCs w:val="32"/>
        </w:rPr>
        <w:t>30199其他工资福利支出33.44万元。全部为人员费用。主要用于长聘编外人员工资、社保费用。</w:t>
      </w:r>
    </w:p>
    <w:p>
      <w:pPr>
        <w:spacing w:line="540" w:lineRule="exact"/>
        <w:ind w:firstLine="627" w:firstLineChars="196"/>
        <w:rPr>
          <w:rFonts w:ascii="宋体" w:hAnsi="宋体" w:cs="宋体"/>
          <w:sz w:val="32"/>
          <w:szCs w:val="32"/>
        </w:rPr>
      </w:pPr>
      <w:r>
        <w:rPr>
          <w:rFonts w:hint="eastAsia" w:ascii="宋体" w:hAnsi="宋体" w:cs="宋体"/>
          <w:sz w:val="32"/>
          <w:szCs w:val="32"/>
        </w:rPr>
        <w:t>30201办公费3.98万元。全部为公用经费。主要用于单位日常办公费用。</w:t>
      </w:r>
    </w:p>
    <w:p>
      <w:pPr>
        <w:spacing w:line="540" w:lineRule="exact"/>
        <w:ind w:firstLine="627" w:firstLineChars="196"/>
        <w:rPr>
          <w:rFonts w:ascii="宋体" w:hAnsi="宋体" w:cs="宋体"/>
          <w:sz w:val="32"/>
          <w:szCs w:val="32"/>
        </w:rPr>
      </w:pPr>
      <w:r>
        <w:rPr>
          <w:rFonts w:hint="eastAsia" w:ascii="宋体" w:hAnsi="宋体" w:cs="宋体"/>
          <w:sz w:val="32"/>
          <w:szCs w:val="32"/>
        </w:rPr>
        <w:t>30202印刷费0.8万元。全部为公用经费。主要用于单位日常印刷费用。</w:t>
      </w:r>
    </w:p>
    <w:p>
      <w:pPr>
        <w:spacing w:line="540" w:lineRule="exact"/>
        <w:ind w:firstLine="627" w:firstLineChars="196"/>
        <w:rPr>
          <w:rFonts w:ascii="宋体" w:hAnsi="宋体" w:cs="宋体"/>
          <w:sz w:val="32"/>
          <w:szCs w:val="32"/>
        </w:rPr>
      </w:pPr>
      <w:r>
        <w:rPr>
          <w:rFonts w:hint="eastAsia" w:ascii="宋体" w:hAnsi="宋体" w:cs="宋体"/>
          <w:sz w:val="32"/>
          <w:szCs w:val="32"/>
        </w:rPr>
        <w:t>30203咨询费0.3万元。全部为公用经费。主要用于单位咨询费用。</w:t>
      </w:r>
    </w:p>
    <w:p>
      <w:pPr>
        <w:spacing w:line="540" w:lineRule="exact"/>
        <w:ind w:firstLine="627" w:firstLineChars="196"/>
        <w:rPr>
          <w:rFonts w:ascii="宋体" w:hAnsi="宋体" w:cs="宋体"/>
          <w:sz w:val="32"/>
          <w:szCs w:val="32"/>
        </w:rPr>
      </w:pPr>
      <w:r>
        <w:rPr>
          <w:rFonts w:hint="eastAsia" w:ascii="宋体" w:hAnsi="宋体" w:cs="宋体"/>
          <w:sz w:val="32"/>
          <w:szCs w:val="32"/>
        </w:rPr>
        <w:t>30204手续费0.5万元。全部为公用经费。主要用于单位日常手续费用。</w:t>
      </w:r>
    </w:p>
    <w:p>
      <w:pPr>
        <w:spacing w:line="540" w:lineRule="exact"/>
        <w:ind w:firstLine="627" w:firstLineChars="196"/>
        <w:rPr>
          <w:rFonts w:ascii="宋体" w:hAnsi="宋体" w:cs="宋体"/>
          <w:sz w:val="32"/>
          <w:szCs w:val="32"/>
        </w:rPr>
      </w:pPr>
      <w:r>
        <w:rPr>
          <w:rFonts w:hint="eastAsia" w:ascii="宋体" w:hAnsi="宋体" w:cs="宋体"/>
          <w:sz w:val="32"/>
          <w:szCs w:val="32"/>
        </w:rPr>
        <w:t>30205水费0.5万元。全部为公用经费。主要用于单位日常办公用水费用。</w:t>
      </w:r>
    </w:p>
    <w:p>
      <w:pPr>
        <w:spacing w:line="540" w:lineRule="exact"/>
        <w:ind w:firstLine="627" w:firstLineChars="196"/>
        <w:rPr>
          <w:rFonts w:ascii="宋体" w:hAnsi="宋体" w:cs="宋体"/>
          <w:sz w:val="32"/>
          <w:szCs w:val="32"/>
        </w:rPr>
      </w:pPr>
      <w:r>
        <w:rPr>
          <w:rFonts w:hint="eastAsia" w:ascii="宋体" w:hAnsi="宋体" w:cs="宋体"/>
          <w:sz w:val="32"/>
          <w:szCs w:val="32"/>
        </w:rPr>
        <w:t>30206电费1.0万元。全部为公用经费。主要用于单位日常办公用电费用。</w:t>
      </w:r>
    </w:p>
    <w:p>
      <w:pPr>
        <w:spacing w:line="540" w:lineRule="exact"/>
        <w:ind w:firstLine="627" w:firstLineChars="196"/>
        <w:rPr>
          <w:rFonts w:ascii="宋体" w:hAnsi="宋体" w:cs="宋体"/>
          <w:sz w:val="32"/>
          <w:szCs w:val="32"/>
        </w:rPr>
      </w:pPr>
      <w:r>
        <w:rPr>
          <w:rFonts w:hint="eastAsia" w:ascii="宋体" w:hAnsi="宋体" w:cs="宋体"/>
          <w:sz w:val="32"/>
          <w:szCs w:val="32"/>
        </w:rPr>
        <w:t>30207邮电费1.5万元。全部为公用经费。主要用于单位日常办公电话费用。</w:t>
      </w:r>
    </w:p>
    <w:p>
      <w:pPr>
        <w:spacing w:line="540" w:lineRule="exact"/>
        <w:ind w:firstLine="627" w:firstLineChars="196"/>
        <w:rPr>
          <w:rFonts w:ascii="宋体" w:hAnsi="宋体" w:cs="宋体"/>
          <w:sz w:val="32"/>
          <w:szCs w:val="32"/>
        </w:rPr>
      </w:pPr>
      <w:r>
        <w:rPr>
          <w:rFonts w:hint="eastAsia" w:ascii="宋体" w:hAnsi="宋体" w:cs="宋体"/>
          <w:sz w:val="32"/>
          <w:szCs w:val="32"/>
        </w:rPr>
        <w:t>30211差旅费2.0万元。全部为公用经费。主要用于单位</w:t>
      </w:r>
      <w:bookmarkStart w:id="0" w:name="_GoBack"/>
      <w:bookmarkEnd w:id="0"/>
      <w:r>
        <w:rPr>
          <w:rFonts w:hint="eastAsia" w:ascii="宋体" w:hAnsi="宋体" w:cs="宋体"/>
          <w:sz w:val="32"/>
          <w:szCs w:val="32"/>
        </w:rPr>
        <w:t>日常差旅费用。</w:t>
      </w:r>
    </w:p>
    <w:p>
      <w:pPr>
        <w:spacing w:line="540" w:lineRule="exact"/>
        <w:ind w:firstLine="627" w:firstLineChars="196"/>
        <w:rPr>
          <w:rFonts w:ascii="宋体" w:hAnsi="宋体" w:cs="宋体"/>
          <w:sz w:val="32"/>
          <w:szCs w:val="32"/>
        </w:rPr>
      </w:pPr>
      <w:r>
        <w:rPr>
          <w:rFonts w:hint="eastAsia" w:ascii="宋体" w:hAnsi="宋体" w:cs="宋体"/>
          <w:sz w:val="32"/>
          <w:szCs w:val="32"/>
        </w:rPr>
        <w:t>30213维修（护）费1.0万元。全部为公用经费。主要用于单位日常维修维护费用。</w:t>
      </w:r>
    </w:p>
    <w:p>
      <w:pPr>
        <w:spacing w:line="540" w:lineRule="exact"/>
        <w:ind w:firstLine="627" w:firstLineChars="196"/>
        <w:rPr>
          <w:rFonts w:ascii="宋体" w:hAnsi="宋体" w:cs="宋体"/>
          <w:sz w:val="32"/>
          <w:szCs w:val="32"/>
        </w:rPr>
      </w:pPr>
      <w:r>
        <w:rPr>
          <w:rFonts w:hint="eastAsia" w:ascii="宋体" w:hAnsi="宋体" w:cs="宋体"/>
          <w:sz w:val="32"/>
          <w:szCs w:val="32"/>
        </w:rPr>
        <w:t>30215会议费1.43万元。全部为公用经费。主要用于单位会议费用。</w:t>
      </w:r>
    </w:p>
    <w:p>
      <w:pPr>
        <w:spacing w:line="540" w:lineRule="exact"/>
        <w:ind w:firstLine="627" w:firstLineChars="196"/>
        <w:rPr>
          <w:rFonts w:ascii="宋体" w:hAnsi="宋体" w:cs="宋体"/>
          <w:sz w:val="32"/>
          <w:szCs w:val="32"/>
        </w:rPr>
      </w:pPr>
      <w:r>
        <w:rPr>
          <w:rFonts w:hint="eastAsia" w:ascii="宋体" w:hAnsi="宋体" w:cs="宋体"/>
          <w:sz w:val="32"/>
          <w:szCs w:val="32"/>
        </w:rPr>
        <w:t>30216培训费0.49万元。全部为公用经费。主要用于单位培训费用。</w:t>
      </w:r>
    </w:p>
    <w:p>
      <w:pPr>
        <w:spacing w:line="540" w:lineRule="exact"/>
        <w:ind w:firstLine="627" w:firstLineChars="196"/>
        <w:rPr>
          <w:rFonts w:ascii="宋体" w:hAnsi="宋体" w:cs="宋体"/>
          <w:sz w:val="32"/>
          <w:szCs w:val="32"/>
        </w:rPr>
      </w:pPr>
      <w:r>
        <w:rPr>
          <w:rFonts w:hint="eastAsia" w:ascii="宋体" w:hAnsi="宋体" w:cs="宋体"/>
          <w:sz w:val="32"/>
          <w:szCs w:val="32"/>
        </w:rPr>
        <w:t>30217公务接待费0.19万元。全部为公用经费。主要用于单位公务接待费用。</w:t>
      </w:r>
    </w:p>
    <w:p>
      <w:pPr>
        <w:spacing w:line="540" w:lineRule="exact"/>
        <w:ind w:firstLine="627" w:firstLineChars="196"/>
        <w:rPr>
          <w:rFonts w:ascii="宋体" w:hAnsi="宋体" w:cs="宋体"/>
          <w:sz w:val="32"/>
          <w:szCs w:val="32"/>
        </w:rPr>
      </w:pPr>
      <w:r>
        <w:rPr>
          <w:rFonts w:hint="eastAsia" w:ascii="宋体" w:hAnsi="宋体" w:cs="宋体"/>
          <w:sz w:val="32"/>
          <w:szCs w:val="32"/>
        </w:rPr>
        <w:t>30226劳务费1.0万元。全部为公用经费。主要用于单位劳务费用。</w:t>
      </w:r>
    </w:p>
    <w:p>
      <w:pPr>
        <w:spacing w:line="540" w:lineRule="exact"/>
        <w:ind w:firstLine="627" w:firstLineChars="196"/>
        <w:rPr>
          <w:rFonts w:ascii="宋体" w:hAnsi="宋体" w:cs="宋体"/>
          <w:sz w:val="32"/>
          <w:szCs w:val="32"/>
        </w:rPr>
      </w:pPr>
      <w:r>
        <w:rPr>
          <w:rFonts w:hint="eastAsia" w:ascii="宋体" w:hAnsi="宋体" w:cs="宋体"/>
          <w:sz w:val="32"/>
          <w:szCs w:val="32"/>
        </w:rPr>
        <w:t>30228工会经费4.52万元。全部为公用经费。主要用于单位工会费用。</w:t>
      </w:r>
    </w:p>
    <w:p>
      <w:pPr>
        <w:spacing w:line="540" w:lineRule="exact"/>
        <w:ind w:firstLine="627" w:firstLineChars="196"/>
        <w:rPr>
          <w:rFonts w:ascii="宋体" w:hAnsi="宋体" w:cs="宋体"/>
          <w:sz w:val="32"/>
          <w:szCs w:val="32"/>
        </w:rPr>
      </w:pPr>
      <w:r>
        <w:rPr>
          <w:rFonts w:hint="eastAsia" w:ascii="宋体" w:hAnsi="宋体" w:cs="宋体"/>
          <w:sz w:val="32"/>
          <w:szCs w:val="32"/>
        </w:rPr>
        <w:t>30229福利费1.26万元。全部为公用经费。主要用于单位职工福利费用。</w:t>
      </w:r>
    </w:p>
    <w:p>
      <w:pPr>
        <w:spacing w:line="540" w:lineRule="exact"/>
        <w:ind w:firstLine="627" w:firstLineChars="196"/>
        <w:rPr>
          <w:rFonts w:ascii="宋体" w:hAnsi="宋体" w:cs="宋体"/>
          <w:sz w:val="32"/>
          <w:szCs w:val="32"/>
        </w:rPr>
      </w:pPr>
      <w:r>
        <w:rPr>
          <w:rFonts w:hint="eastAsia" w:ascii="宋体" w:hAnsi="宋体" w:cs="宋体"/>
          <w:sz w:val="32"/>
          <w:szCs w:val="32"/>
        </w:rPr>
        <w:t>30231公务用车运行维护费9.37万元。全部为公用经费。主要用于单位公务用车加油、年检、维修、保险等费用。</w:t>
      </w:r>
    </w:p>
    <w:p>
      <w:pPr>
        <w:spacing w:line="540" w:lineRule="exact"/>
        <w:ind w:firstLine="627" w:firstLineChars="196"/>
        <w:rPr>
          <w:rFonts w:ascii="宋体" w:hAnsi="宋体" w:cs="宋体"/>
          <w:sz w:val="32"/>
          <w:szCs w:val="32"/>
        </w:rPr>
      </w:pPr>
      <w:r>
        <w:rPr>
          <w:rFonts w:hint="eastAsia" w:ascii="宋体" w:hAnsi="宋体" w:cs="宋体"/>
          <w:sz w:val="32"/>
          <w:szCs w:val="32"/>
        </w:rPr>
        <w:t>30299其他商品和服务支出6.12万元。全部为公用经费。主要用于单位食堂运转费用。</w:t>
      </w:r>
    </w:p>
    <w:p>
      <w:pPr>
        <w:spacing w:line="540" w:lineRule="exact"/>
        <w:ind w:firstLine="627" w:firstLineChars="196"/>
        <w:rPr>
          <w:rFonts w:ascii="宋体" w:hAnsi="宋体" w:cs="宋体"/>
          <w:sz w:val="32"/>
          <w:szCs w:val="32"/>
        </w:rPr>
      </w:pPr>
      <w:r>
        <w:rPr>
          <w:rFonts w:hint="eastAsia" w:ascii="宋体" w:hAnsi="宋体" w:cs="宋体"/>
          <w:sz w:val="32"/>
          <w:szCs w:val="32"/>
        </w:rPr>
        <w:t>30302退休费1.8万元。全部为人员经费。主要用于单位退休人员各种补助费用。</w:t>
      </w:r>
    </w:p>
    <w:p>
      <w:pPr>
        <w:pStyle w:val="7"/>
        <w:shd w:val="clear" w:color="auto" w:fill="FFFFFF"/>
        <w:spacing w:before="0" w:beforeAutospacing="0" w:after="0" w:afterAutospacing="0" w:line="590" w:lineRule="exact"/>
        <w:ind w:firstLine="630"/>
        <w:jc w:val="both"/>
        <w:rPr>
          <w:rFonts w:ascii="仿宋" w:hAnsi="仿宋" w:eastAsia="仿宋"/>
          <w:sz w:val="32"/>
          <w:szCs w:val="32"/>
        </w:rPr>
      </w:pPr>
      <w:r>
        <w:rPr>
          <w:rFonts w:hint="eastAsia"/>
          <w:sz w:val="32"/>
          <w:szCs w:val="32"/>
        </w:rPr>
        <w:t>30399其他对个人和家庭的补助11.3万元。全部为人员经费。主要用于单位人员体检、困难补助等费用。</w:t>
      </w:r>
    </w:p>
    <w:p>
      <w:pPr>
        <w:pStyle w:val="7"/>
        <w:shd w:val="clear" w:color="auto" w:fill="FFFFFF"/>
        <w:spacing w:before="0" w:beforeAutospacing="0" w:after="0" w:afterAutospacing="0" w:line="590" w:lineRule="exact"/>
        <w:ind w:firstLine="630"/>
        <w:rPr>
          <w:rFonts w:ascii="微软雅黑" w:hAnsi="微软雅黑" w:eastAsia="微软雅黑"/>
          <w:b/>
          <w:bCs/>
          <w:sz w:val="32"/>
          <w:szCs w:val="32"/>
        </w:rPr>
      </w:pPr>
      <w:r>
        <w:rPr>
          <w:rStyle w:val="10"/>
          <w:rFonts w:hint="eastAsia" w:ascii="黑体" w:hAnsi="黑体" w:eastAsia="黑体"/>
          <w:b w:val="0"/>
          <w:bCs w:val="0"/>
          <w:sz w:val="32"/>
          <w:szCs w:val="32"/>
        </w:rPr>
        <w:t>七、一般公共预算“三公”经费情况说明</w:t>
      </w:r>
    </w:p>
    <w:p>
      <w:pPr>
        <w:spacing w:line="580" w:lineRule="exact"/>
        <w:ind w:firstLine="627" w:firstLineChars="196"/>
        <w:rPr>
          <w:rFonts w:ascii="宋体" w:hAnsi="宋体" w:cs="宋体"/>
          <w:kern w:val="0"/>
          <w:sz w:val="32"/>
          <w:szCs w:val="32"/>
        </w:rPr>
      </w:pPr>
      <w:r>
        <w:rPr>
          <w:rFonts w:hint="eastAsia" w:ascii="宋体" w:hAnsi="宋体" w:cs="宋体"/>
          <w:kern w:val="0"/>
          <w:sz w:val="32"/>
          <w:szCs w:val="32"/>
        </w:rPr>
        <w:t>2024年一般公共预算安排的“三公”经费支出预算38.45万元，同比增加27.14万元，增长239.96%，主要原因是2024年新增采购1辆公务用车。具体如下：</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（一）因公出国（境）费2024年预算安排0万元，与去年相同。</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（二）公务接待费2024年预算1.09万元，1.19万元，同比减少0.1万元，下降8.40%，主要原因是厉行节约，压缩开支。 </w:t>
      </w:r>
    </w:p>
    <w:p>
      <w:pPr>
        <w:spacing w:line="580" w:lineRule="exact"/>
        <w:ind w:firstLine="627" w:firstLineChars="196"/>
        <w:rPr>
          <w:rFonts w:ascii="宋体" w:hAnsi="宋体" w:cs="宋体"/>
          <w:kern w:val="0"/>
          <w:sz w:val="32"/>
          <w:szCs w:val="32"/>
        </w:rPr>
      </w:pPr>
      <w:r>
        <w:rPr>
          <w:rFonts w:hint="eastAsia" w:ascii="宋体" w:hAnsi="宋体" w:cs="宋体"/>
          <w:kern w:val="0"/>
          <w:sz w:val="32"/>
          <w:szCs w:val="32"/>
        </w:rPr>
        <w:t>（三）公务用车购置费2024年预算安排28万元，比上年增加28万元，上年度为0。增长的主要原因为2024年新增采购1辆公务用车。</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（四）公务用车运行维护费2024年预算安排9.37万元，比去年减少0.75万元，下降7.41%，主要原因是厉行节约，压缩开支。</w:t>
      </w:r>
    </w:p>
    <w:p>
      <w:pPr>
        <w:tabs>
          <w:tab w:val="center" w:pos="4475"/>
        </w:tabs>
        <w:spacing w:line="590" w:lineRule="exact"/>
        <w:ind w:firstLine="645"/>
        <w:rPr>
          <w:rStyle w:val="10"/>
          <w:rFonts w:ascii="黑体" w:hAnsi="黑体" w:eastAsia="黑体"/>
          <w:b w:val="0"/>
          <w:bCs w:val="0"/>
          <w:kern w:val="0"/>
          <w:sz w:val="32"/>
          <w:szCs w:val="32"/>
        </w:rPr>
      </w:pPr>
      <w:r>
        <w:rPr>
          <w:rStyle w:val="10"/>
          <w:rFonts w:hint="eastAsia" w:ascii="黑体" w:hAnsi="黑体" w:eastAsia="黑体"/>
          <w:b w:val="0"/>
          <w:bCs w:val="0"/>
          <w:kern w:val="0"/>
          <w:sz w:val="32"/>
          <w:szCs w:val="32"/>
        </w:rPr>
        <w:t>八、政府性基金预算支出情况说明</w:t>
      </w:r>
    </w:p>
    <w:p>
      <w:pPr>
        <w:tabs>
          <w:tab w:val="center" w:pos="4475"/>
        </w:tabs>
        <w:spacing w:line="590" w:lineRule="exact"/>
        <w:ind w:firstLine="645"/>
        <w:rPr>
          <w:rFonts w:ascii="仿宋" w:hAnsi="仿宋" w:eastAsia="仿宋" w:cs="宋体"/>
          <w:kern w:val="0"/>
          <w:sz w:val="32"/>
          <w:szCs w:val="32"/>
        </w:rPr>
      </w:pPr>
      <w:r>
        <w:rPr>
          <w:rFonts w:hint="eastAsia" w:ascii="宋体" w:hAnsi="宋体" w:cs="宋体"/>
          <w:kern w:val="0"/>
          <w:sz w:val="32"/>
          <w:szCs w:val="32"/>
        </w:rPr>
        <w:t>我中心2024年无政府性基金预算支出。</w:t>
      </w:r>
    </w:p>
    <w:p>
      <w:pPr>
        <w:tabs>
          <w:tab w:val="center" w:pos="4475"/>
        </w:tabs>
        <w:spacing w:line="590" w:lineRule="exact"/>
        <w:ind w:firstLine="645"/>
        <w:rPr>
          <w:rStyle w:val="10"/>
          <w:rFonts w:ascii="黑体" w:hAnsi="黑体" w:eastAsia="黑体"/>
          <w:b w:val="0"/>
          <w:bCs w:val="0"/>
          <w:kern w:val="0"/>
          <w:sz w:val="32"/>
          <w:szCs w:val="32"/>
        </w:rPr>
      </w:pPr>
      <w:r>
        <w:rPr>
          <w:rStyle w:val="10"/>
          <w:rFonts w:hint="eastAsia" w:ascii="黑体" w:hAnsi="黑体" w:eastAsia="黑体"/>
          <w:b w:val="0"/>
          <w:bCs w:val="0"/>
          <w:kern w:val="0"/>
          <w:sz w:val="32"/>
          <w:szCs w:val="32"/>
        </w:rPr>
        <w:t>九、国有资本经营预算支出情况说明</w:t>
      </w:r>
    </w:p>
    <w:p>
      <w:pPr>
        <w:pStyle w:val="7"/>
        <w:shd w:val="clear" w:color="auto" w:fill="FFFFFF"/>
        <w:spacing w:before="0" w:beforeAutospacing="0" w:after="0" w:afterAutospacing="0" w:line="590" w:lineRule="exact"/>
        <w:ind w:firstLine="640" w:firstLineChars="200"/>
        <w:rPr>
          <w:sz w:val="32"/>
          <w:szCs w:val="32"/>
        </w:rPr>
      </w:pPr>
      <w:r>
        <w:rPr>
          <w:rFonts w:hint="eastAsia"/>
          <w:sz w:val="32"/>
          <w:szCs w:val="32"/>
        </w:rPr>
        <w:t>我中心2024年部门预算无国有资本经营预算支出。</w:t>
      </w:r>
    </w:p>
    <w:p>
      <w:pPr>
        <w:tabs>
          <w:tab w:val="center" w:pos="4475"/>
        </w:tabs>
        <w:spacing w:line="590" w:lineRule="exact"/>
        <w:ind w:firstLine="645"/>
        <w:rPr>
          <w:rStyle w:val="10"/>
          <w:rFonts w:ascii="黑体" w:hAnsi="黑体" w:eastAsia="黑体"/>
          <w:b w:val="0"/>
          <w:bCs w:val="0"/>
          <w:kern w:val="0"/>
          <w:sz w:val="32"/>
          <w:szCs w:val="32"/>
        </w:rPr>
      </w:pPr>
      <w:r>
        <w:rPr>
          <w:rStyle w:val="10"/>
          <w:rFonts w:hint="eastAsia" w:ascii="黑体" w:hAnsi="黑体" w:eastAsia="黑体"/>
          <w:b w:val="0"/>
          <w:bCs w:val="0"/>
          <w:kern w:val="0"/>
          <w:sz w:val="32"/>
          <w:szCs w:val="32"/>
        </w:rPr>
        <w:t>十、其他重要事项情况说明</w:t>
      </w:r>
    </w:p>
    <w:p>
      <w:pPr>
        <w:tabs>
          <w:tab w:val="center" w:pos="4475"/>
        </w:tabs>
        <w:spacing w:line="600" w:lineRule="exact"/>
        <w:ind w:firstLine="645"/>
        <w:rPr>
          <w:rStyle w:val="10"/>
          <w:rFonts w:ascii="楷体" w:hAnsi="楷体" w:eastAsia="楷体" w:cs="楷体"/>
          <w:b w:val="0"/>
          <w:bCs w:val="0"/>
          <w:kern w:val="0"/>
          <w:sz w:val="32"/>
          <w:szCs w:val="32"/>
        </w:rPr>
      </w:pPr>
      <w:r>
        <w:rPr>
          <w:rStyle w:val="10"/>
          <w:rFonts w:hint="eastAsia" w:ascii="楷体" w:hAnsi="楷体" w:eastAsia="楷体" w:cs="楷体"/>
          <w:b w:val="0"/>
          <w:bCs w:val="0"/>
          <w:kern w:val="0"/>
          <w:sz w:val="32"/>
          <w:szCs w:val="32"/>
        </w:rPr>
        <w:t>（一）机关运行经费安排情况说明</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2024年事业运行预算313.83万元，全部是基本支出预算，同比增加65.81万元，增长26.53%。其中：工资福利支出264.78万元、商品和服务支出35.95万元、对个人和家庭的补助支出13.10万元。主要用于中心为保证日常运转发生的基本工资、津贴补贴、奖金、绩效工资以及办公费、印刷费、咨询费、手续费、水电费、邮电费、培训费、差旅费、会议费等日常公用经费支出。</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事业运行经费增长原因主要是根据财政要求将原编入项目支出的聘用人员工资社保等经费编入基本支出，以及在职人员正常薪资、社保调整。</w:t>
      </w:r>
    </w:p>
    <w:p>
      <w:pPr>
        <w:tabs>
          <w:tab w:val="center" w:pos="4475"/>
        </w:tabs>
        <w:spacing w:line="600" w:lineRule="exact"/>
        <w:ind w:firstLine="645"/>
        <w:rPr>
          <w:rStyle w:val="10"/>
          <w:rFonts w:ascii="楷体" w:hAnsi="楷体" w:eastAsia="楷体" w:cs="楷体"/>
          <w:b w:val="0"/>
          <w:bCs w:val="0"/>
          <w:kern w:val="0"/>
          <w:sz w:val="32"/>
          <w:szCs w:val="32"/>
        </w:rPr>
      </w:pPr>
      <w:r>
        <w:rPr>
          <w:rStyle w:val="10"/>
          <w:rFonts w:hint="eastAsia" w:ascii="楷体" w:hAnsi="楷体" w:eastAsia="楷体" w:cs="楷体"/>
          <w:b w:val="0"/>
          <w:bCs w:val="0"/>
          <w:kern w:val="0"/>
          <w:sz w:val="32"/>
          <w:szCs w:val="32"/>
        </w:rPr>
        <w:t>（二）政府采购预算安排情况说明</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2024年政府采购预算141.24万元.其中：货物类采购29.74万元，服务类采购111.5万元。具体情况如下：</w:t>
      </w:r>
    </w:p>
    <w:p>
      <w:pPr>
        <w:spacing w:line="600" w:lineRule="exact"/>
        <w:ind w:firstLine="640" w:firstLineChars="200"/>
        <w:rPr>
          <w:rFonts w:ascii="宋体" w:hAnsi="宋体" w:cs="宋体"/>
          <w:kern w:val="0"/>
          <w:sz w:val="32"/>
          <w:szCs w:val="32"/>
        </w:rPr>
      </w:pPr>
      <w:r>
        <w:rPr>
          <w:rFonts w:hint="eastAsia" w:ascii="宋体" w:hAnsi="宋体" w:cs="宋体"/>
          <w:kern w:val="0"/>
          <w:sz w:val="32"/>
          <w:szCs w:val="32"/>
        </w:rPr>
        <w:t>2024年政府采购预算141.24万元，同比增加28.43万元，增长25.20%，主要原因为2024年新增采购1辆公务用车。</w:t>
      </w:r>
    </w:p>
    <w:p>
      <w:pPr>
        <w:spacing w:line="600" w:lineRule="exact"/>
        <w:ind w:firstLine="640" w:firstLineChars="200"/>
        <w:rPr>
          <w:rFonts w:ascii="宋体" w:hAnsi="宋体" w:cs="宋体"/>
          <w:kern w:val="0"/>
          <w:sz w:val="32"/>
          <w:szCs w:val="32"/>
        </w:rPr>
      </w:pPr>
      <w:r>
        <w:rPr>
          <w:rFonts w:hint="eastAsia" w:ascii="宋体" w:hAnsi="宋体" w:cs="宋体"/>
          <w:kern w:val="0"/>
          <w:sz w:val="32"/>
          <w:szCs w:val="32"/>
        </w:rPr>
        <w:t>货物采购29.74万元，占政府采购预算21.06%，同比增加28.9万元。增加的主要原因为2024年新增采购1辆公务用车。</w:t>
      </w:r>
    </w:p>
    <w:p>
      <w:pPr>
        <w:spacing w:line="600" w:lineRule="exact"/>
        <w:ind w:firstLine="640" w:firstLineChars="200"/>
        <w:rPr>
          <w:rFonts w:ascii="宋体" w:hAnsi="宋体" w:cs="宋体"/>
          <w:kern w:val="0"/>
          <w:sz w:val="32"/>
          <w:szCs w:val="32"/>
        </w:rPr>
      </w:pPr>
      <w:r>
        <w:rPr>
          <w:rFonts w:hint="eastAsia" w:ascii="宋体" w:hAnsi="宋体" w:cs="宋体"/>
          <w:kern w:val="0"/>
          <w:sz w:val="32"/>
          <w:szCs w:val="32"/>
        </w:rPr>
        <w:t>服务采购111.5万元，占政府采购预算78.94%，同比减少0.47万元。减少的主要原因为物业管理费减少。</w:t>
      </w:r>
    </w:p>
    <w:p>
      <w:pPr>
        <w:spacing w:line="600" w:lineRule="exact"/>
        <w:ind w:firstLine="640" w:firstLineChars="200"/>
        <w:rPr>
          <w:rFonts w:ascii="宋体" w:hAnsi="宋体" w:cs="宋体"/>
          <w:kern w:val="0"/>
          <w:sz w:val="32"/>
          <w:szCs w:val="32"/>
        </w:rPr>
      </w:pPr>
      <w:r>
        <w:rPr>
          <w:rFonts w:hint="eastAsia" w:ascii="宋体" w:hAnsi="宋体" w:cs="宋体"/>
          <w:kern w:val="0"/>
          <w:sz w:val="32"/>
          <w:szCs w:val="32"/>
        </w:rPr>
        <w:t>政府采购资金类型：一般公共预算拨款141.24万元，占政府采购预算100%。</w:t>
      </w:r>
    </w:p>
    <w:p>
      <w:pPr>
        <w:spacing w:line="600" w:lineRule="exact"/>
        <w:ind w:firstLine="640" w:firstLineChars="200"/>
        <w:rPr>
          <w:rFonts w:ascii="宋体" w:hAnsi="宋体" w:cs="宋体"/>
          <w:kern w:val="0"/>
          <w:sz w:val="32"/>
          <w:szCs w:val="32"/>
        </w:rPr>
      </w:pPr>
      <w:r>
        <w:rPr>
          <w:rFonts w:hint="eastAsia" w:ascii="宋体" w:hAnsi="宋体" w:cs="宋体"/>
          <w:kern w:val="0"/>
          <w:sz w:val="32"/>
          <w:szCs w:val="32"/>
        </w:rPr>
        <w:t>政府采购项目类型：政府集中采购预算141.24万元，占政府采购预算100%。</w:t>
      </w:r>
    </w:p>
    <w:p>
      <w:pPr>
        <w:pStyle w:val="7"/>
        <w:shd w:val="clear" w:color="auto" w:fill="FFFFFF"/>
        <w:spacing w:before="0" w:beforeAutospacing="0" w:after="0" w:afterAutospacing="0" w:line="590" w:lineRule="exact"/>
        <w:ind w:firstLine="630"/>
        <w:rPr>
          <w:rStyle w:val="10"/>
          <w:rFonts w:ascii="楷体" w:hAnsi="楷体" w:eastAsia="楷体" w:cs="楷体"/>
          <w:b w:val="0"/>
          <w:bCs w:val="0"/>
          <w:sz w:val="32"/>
          <w:szCs w:val="32"/>
        </w:rPr>
      </w:pPr>
      <w:r>
        <w:rPr>
          <w:rStyle w:val="10"/>
          <w:rFonts w:hint="eastAsia" w:ascii="楷体" w:hAnsi="楷体" w:eastAsia="楷体" w:cs="楷体"/>
          <w:b w:val="0"/>
          <w:bCs w:val="0"/>
          <w:sz w:val="32"/>
          <w:szCs w:val="32"/>
        </w:rPr>
        <w:t>（三）国有资产占用情况说明</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1.办公用房情况。我中心没有办公用房、与局本级在同一栋楼办公，由局本级提供办公场地。中心房屋面积5762.02平方米，资产原值773.7万元，其中业务用房面积5660平方米，其他用房面积102.02平方米。</w:t>
      </w:r>
    </w:p>
    <w:p>
      <w:pPr>
        <w:pStyle w:val="7"/>
        <w:shd w:val="clear" w:color="auto" w:fill="FFFFFF"/>
        <w:spacing w:before="0" w:beforeAutospacing="0" w:after="0" w:afterAutospacing="0" w:line="590" w:lineRule="exact"/>
        <w:ind w:firstLine="630"/>
        <w:jc w:val="both"/>
        <w:rPr>
          <w:sz w:val="32"/>
          <w:szCs w:val="32"/>
        </w:rPr>
      </w:pPr>
      <w:r>
        <w:rPr>
          <w:rFonts w:hint="eastAsia"/>
          <w:sz w:val="32"/>
          <w:szCs w:val="32"/>
        </w:rPr>
        <w:t>2.车辆情况。储备中心机动车编制数3个，定编小汽车实有数3辆，其中轿车（公务）1辆、越野车2辆。</w:t>
      </w:r>
    </w:p>
    <w:p>
      <w:pPr>
        <w:pStyle w:val="7"/>
        <w:shd w:val="clear" w:color="auto" w:fill="FFFFFF"/>
        <w:spacing w:before="0" w:beforeAutospacing="0" w:after="0" w:afterAutospacing="0" w:line="590" w:lineRule="exact"/>
        <w:ind w:firstLine="630"/>
        <w:rPr>
          <w:rStyle w:val="10"/>
          <w:rFonts w:ascii="楷体" w:hAnsi="楷体" w:eastAsia="楷体" w:cs="楷体"/>
          <w:b w:val="0"/>
          <w:bCs w:val="0"/>
          <w:sz w:val="32"/>
          <w:szCs w:val="32"/>
        </w:rPr>
      </w:pPr>
      <w:r>
        <w:rPr>
          <w:rStyle w:val="10"/>
          <w:rFonts w:hint="eastAsia" w:ascii="楷体" w:hAnsi="楷体" w:eastAsia="楷体" w:cs="楷体"/>
          <w:b w:val="0"/>
          <w:bCs w:val="0"/>
          <w:sz w:val="32"/>
          <w:szCs w:val="32"/>
        </w:rPr>
        <w:t>（四）预算绩效目标情况说明</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1.我中心2024年所有项目支出全面实施绩效目标管理，包括其他运转类、特定目标类共10个，预算金额535.54万元。绩效目标具体情况详见报表。</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2.重点项目预算绩效目标说明。</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项目名称：应急救灾物资储备管理工作经费。预算资金：357.43万元。2024年绩效目标如下：</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绩效目标：做好中央及自治区本级救灾物资的应急储备、养护等工作；保障救灾物资储备库日常运转及存储物资安全。</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A.产出指标</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数量指标：管理的储备物资品种数量≥1个。</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质量指标：经费支出合规性 按相关规定支付</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时效指标：12月31日前完成支付</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成本指标：≤357.43万元</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B.效益指标</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经济效益：支持灾区救灾救援工作，助推经济社会发展。</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社会效益：为救灾救援提供物资保障，促进社会稳定。</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生态效益：为救灾救援提供物资保障，促进灾区环境恢复。</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可持续影响：为灾区群众提供生产生活物资保障，促进经济社会可持续发展。</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C.满意度指标</w:t>
      </w:r>
    </w:p>
    <w:p>
      <w:pPr>
        <w:autoSpaceDE w:val="0"/>
        <w:autoSpaceDN w:val="0"/>
        <w:adjustRightInd w:val="0"/>
        <w:spacing w:line="600" w:lineRule="exact"/>
        <w:ind w:firstLine="640" w:firstLineChars="200"/>
        <w:rPr>
          <w:rFonts w:ascii="宋体" w:hAnsi="宋体" w:cs="宋体"/>
          <w:kern w:val="0"/>
          <w:sz w:val="32"/>
          <w:szCs w:val="32"/>
        </w:rPr>
      </w:pPr>
      <w:r>
        <w:rPr>
          <w:rFonts w:hint="eastAsia" w:ascii="宋体" w:hAnsi="宋体" w:cs="宋体"/>
          <w:kern w:val="0"/>
          <w:sz w:val="32"/>
          <w:szCs w:val="32"/>
        </w:rPr>
        <w:t>服务对象满意度：服务对象满意率≥90%</w:t>
      </w:r>
    </w:p>
    <w:p>
      <w:pPr>
        <w:pStyle w:val="7"/>
        <w:shd w:val="clear" w:color="auto" w:fill="FFFFFF"/>
        <w:spacing w:before="0" w:beforeAutospacing="0" w:after="0" w:afterAutospacing="0" w:line="590" w:lineRule="exact"/>
        <w:ind w:firstLine="630"/>
        <w:rPr>
          <w:rFonts w:ascii="微软雅黑" w:hAnsi="微软雅黑" w:eastAsia="微软雅黑"/>
          <w:sz w:val="30"/>
          <w:szCs w:val="30"/>
        </w:rPr>
      </w:pPr>
      <w:r>
        <w:rPr>
          <w:rStyle w:val="10"/>
          <w:rFonts w:hint="eastAsia" w:ascii="仿宋" w:hAnsi="仿宋" w:eastAsia="仿宋"/>
          <w:sz w:val="32"/>
          <w:szCs w:val="32"/>
        </w:rPr>
        <w:t> </w:t>
      </w:r>
    </w:p>
    <w:p>
      <w:pPr>
        <w:pStyle w:val="7"/>
        <w:shd w:val="clear" w:color="auto" w:fill="FFFFFF"/>
        <w:spacing w:before="0" w:beforeAutospacing="0" w:after="0" w:afterAutospacing="0" w:line="590" w:lineRule="exact"/>
        <w:jc w:val="center"/>
        <w:rPr>
          <w:rFonts w:ascii="微软雅黑" w:hAnsi="微软雅黑" w:eastAsia="微软雅黑"/>
          <w:sz w:val="32"/>
          <w:szCs w:val="32"/>
        </w:rPr>
      </w:pPr>
      <w:r>
        <w:rPr>
          <w:rStyle w:val="10"/>
          <w:rFonts w:hint="eastAsia" w:ascii="黑体" w:hAnsi="黑体" w:eastAsia="黑体"/>
          <w:b w:val="0"/>
          <w:bCs w:val="0"/>
          <w:sz w:val="32"/>
          <w:szCs w:val="32"/>
        </w:rPr>
        <w:t>第三部分：名词解释</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一、财政拨款收入</w:t>
      </w:r>
      <w:r>
        <w:rPr>
          <w:rFonts w:hint="eastAsia" w:ascii="黑体" w:hAnsi="黑体" w:eastAsia="黑体" w:cs="黑体"/>
          <w:sz w:val="32"/>
          <w:szCs w:val="32"/>
        </w:rPr>
        <w:t>：</w:t>
      </w:r>
      <w:r>
        <w:rPr>
          <w:rFonts w:hint="eastAsia"/>
          <w:sz w:val="32"/>
          <w:szCs w:val="32"/>
        </w:rPr>
        <w:t>指自治区财政部门当年拨付的资金。</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二、事业收入：</w:t>
      </w:r>
      <w:r>
        <w:rPr>
          <w:rFonts w:hint="eastAsia"/>
          <w:sz w:val="32"/>
          <w:szCs w:val="32"/>
        </w:rPr>
        <w:t>指事业单位开展专业业务活动及辅助活动所取得的收入。</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三、经营收入：</w:t>
      </w:r>
      <w:r>
        <w:rPr>
          <w:rFonts w:hint="eastAsia"/>
          <w:sz w:val="32"/>
          <w:szCs w:val="32"/>
        </w:rPr>
        <w:t>指事业单位在专业业务活动及其辅助活动之外开展非独立核算经营活动取得的收入。</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四、其他收入：</w:t>
      </w:r>
      <w:r>
        <w:rPr>
          <w:rFonts w:hint="eastAsia"/>
          <w:sz w:val="32"/>
          <w:szCs w:val="32"/>
        </w:rPr>
        <w:t>指除上述“财政拨款收入”“事业收入”“经营收入”等以外的收入。</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五、用事业基金弥补收支差额：</w:t>
      </w:r>
      <w:r>
        <w:rPr>
          <w:rFonts w:hint="eastAsia"/>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六、年初结转和结余：</w:t>
      </w:r>
      <w:r>
        <w:rPr>
          <w:rFonts w:hint="eastAsia"/>
          <w:sz w:val="32"/>
          <w:szCs w:val="32"/>
        </w:rPr>
        <w:t>指以前年度尚未完成、结转到本年按有关规定继续使用的资金。</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七、结余分配：</w:t>
      </w:r>
      <w:r>
        <w:rPr>
          <w:rFonts w:hint="eastAsia"/>
          <w:sz w:val="32"/>
          <w:szCs w:val="32"/>
        </w:rPr>
        <w:t>指事业单位按规定提取的职工福利基金、事业基金和缴纳的所得税，以及建设单位按规定应交回的基本建设竣工项目结余资金。</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八、年末结转和结余：</w:t>
      </w:r>
      <w:r>
        <w:rPr>
          <w:rFonts w:hint="eastAsia"/>
          <w:sz w:val="32"/>
          <w:szCs w:val="32"/>
        </w:rPr>
        <w:t>指本年度或以前年度预算安排、因客观条件发生变化无法按原计划实施，需要延迟到以后年度按有关规定继续使用的资金。</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九、基本支出：</w:t>
      </w:r>
      <w:r>
        <w:rPr>
          <w:rFonts w:hint="eastAsia"/>
          <w:sz w:val="32"/>
          <w:szCs w:val="32"/>
        </w:rPr>
        <w:t>指为保障机构正常运转、完成日常工作任务而发生的人员支出和公用支出。</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十、项目支出：</w:t>
      </w:r>
      <w:r>
        <w:rPr>
          <w:rFonts w:hint="eastAsia"/>
          <w:sz w:val="32"/>
          <w:szCs w:val="32"/>
        </w:rPr>
        <w:t>指在基本支出之外为完成特定行政任务和事业发展目标所发生的支出。</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十一、经营支出：</w:t>
      </w:r>
      <w:r>
        <w:rPr>
          <w:rFonts w:hint="eastAsia"/>
          <w:sz w:val="32"/>
          <w:szCs w:val="32"/>
        </w:rPr>
        <w:t>指事业单位在专业业务活动及其辅助活动之外开展非独立核算经营活动发生的支出。</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十二、“三公”经费：</w:t>
      </w:r>
      <w:r>
        <w:rPr>
          <w:rFonts w:hint="eastAsia"/>
          <w:sz w:val="32"/>
          <w:szCs w:val="32"/>
        </w:rPr>
        <w:t>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十三、粮油物资储备支出（类）粮油事务（款）事业运行（项）：</w:t>
      </w:r>
      <w:r>
        <w:rPr>
          <w:rFonts w:hint="eastAsia"/>
          <w:sz w:val="32"/>
          <w:szCs w:val="32"/>
        </w:rPr>
        <w:t>指主要用于我中心为保证日常运转发生的基本支出。如根据国家规定的基本工资和津补贴标准等安排的人员经费支出、按自治区统一规定的开支标准安排的办公费、印刷费、水电费、培训费、差旅费、会议费等日常公用经费支出。</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十四、粮油物资储备支出（类）粮油事务（款）一般行政管理事务（项）：</w:t>
      </w:r>
      <w:r>
        <w:rPr>
          <w:rFonts w:hint="eastAsia"/>
          <w:sz w:val="32"/>
          <w:szCs w:val="32"/>
        </w:rPr>
        <w:t>指中心为完成各项工作任务、保障粮食和物资储备事业发展而发生的项目支出。</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十五、社会保障和就业（类）行政事业单位离退休（款）机关事业单位职业年金缴费支出（项）：</w:t>
      </w:r>
      <w:r>
        <w:rPr>
          <w:rFonts w:hint="eastAsia"/>
          <w:sz w:val="32"/>
          <w:szCs w:val="32"/>
        </w:rPr>
        <w:t>主要用于支付行政及事业单位在职职工单位职业年金费用。</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十六、医疗卫生与计划生育支出（类）行政事业单位医疗（款）事业单位医疗（项）：</w:t>
      </w:r>
      <w:r>
        <w:rPr>
          <w:rFonts w:hint="eastAsia"/>
          <w:sz w:val="32"/>
          <w:szCs w:val="32"/>
        </w:rPr>
        <w:t>主要是根据自治区统一规定，按事业单位在职职工工资总额的一定比例计缴的医疗保险。</w:t>
      </w:r>
    </w:p>
    <w:p>
      <w:pPr>
        <w:pStyle w:val="7"/>
        <w:shd w:val="clear" w:color="auto" w:fill="FFFFFF"/>
        <w:spacing w:before="0" w:beforeAutospacing="0" w:after="0" w:afterAutospacing="0" w:line="590" w:lineRule="exact"/>
        <w:ind w:firstLine="645"/>
        <w:rPr>
          <w:sz w:val="32"/>
          <w:szCs w:val="32"/>
        </w:rPr>
      </w:pPr>
      <w:r>
        <w:rPr>
          <w:rStyle w:val="10"/>
          <w:rFonts w:hint="eastAsia" w:ascii="黑体" w:hAnsi="黑体" w:eastAsia="黑体" w:cs="黑体"/>
          <w:b w:val="0"/>
          <w:bCs w:val="0"/>
          <w:sz w:val="32"/>
          <w:szCs w:val="32"/>
        </w:rPr>
        <w:t>十七、住房保障支出（类）住房改革支出（款）住房公积金(项)：</w:t>
      </w:r>
      <w:r>
        <w:rPr>
          <w:rFonts w:hint="eastAsia"/>
          <w:sz w:val="32"/>
          <w:szCs w:val="32"/>
        </w:rPr>
        <w:t>主要是按照国家统一规定，为单位职工计缴的住房公积金。</w:t>
      </w:r>
    </w:p>
    <w:p>
      <w:pPr>
        <w:pStyle w:val="7"/>
        <w:shd w:val="clear" w:color="auto" w:fill="FFFFFF"/>
        <w:spacing w:before="0" w:beforeAutospacing="0" w:after="0" w:afterAutospacing="0" w:line="590" w:lineRule="exact"/>
        <w:ind w:firstLine="645"/>
        <w:rPr>
          <w:rFonts w:ascii="仿宋" w:hAnsi="仿宋" w:eastAsia="仿宋"/>
          <w:sz w:val="32"/>
          <w:szCs w:val="32"/>
        </w:rPr>
      </w:pPr>
    </w:p>
    <w:p>
      <w:pPr>
        <w:pStyle w:val="7"/>
        <w:shd w:val="clear" w:color="auto" w:fill="FFFFFF"/>
        <w:spacing w:before="0" w:beforeAutospacing="0" w:after="0" w:afterAutospacing="0" w:line="590" w:lineRule="exact"/>
        <w:ind w:firstLine="640" w:firstLineChars="200"/>
        <w:rPr>
          <w:rFonts w:ascii="黑体" w:hAnsi="黑体" w:eastAsia="黑体"/>
          <w:w w:val="90"/>
          <w:sz w:val="32"/>
          <w:szCs w:val="32"/>
        </w:rPr>
      </w:pPr>
      <w:r>
        <w:rPr>
          <w:rFonts w:hint="eastAsia" w:ascii="黑体" w:hAnsi="黑体" w:eastAsia="黑体"/>
          <w:sz w:val="32"/>
          <w:szCs w:val="32"/>
        </w:rPr>
        <w:t>第四部分：</w:t>
      </w:r>
      <w:r>
        <w:rPr>
          <w:rFonts w:hint="eastAsia" w:ascii="黑体" w:hAnsi="黑体" w:eastAsia="黑体"/>
          <w:w w:val="90"/>
          <w:sz w:val="32"/>
          <w:szCs w:val="32"/>
        </w:rPr>
        <w:t>自治区救灾物资储备中心2024年部门预算报表</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一、部门收支预算总体情况（预算公开01表）</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二、部门收入总体情况表（预算公开02表）</w:t>
      </w:r>
    </w:p>
    <w:p>
      <w:pPr>
        <w:adjustRightInd w:val="0"/>
        <w:snapToGrid w:val="0"/>
        <w:spacing w:line="590" w:lineRule="exact"/>
        <w:ind w:right="-218" w:rightChars="-104" w:firstLine="640" w:firstLineChars="200"/>
        <w:rPr>
          <w:rFonts w:ascii="宋体" w:hAnsi="宋体" w:cs="宋体"/>
          <w:kern w:val="0"/>
          <w:sz w:val="32"/>
          <w:szCs w:val="32"/>
        </w:rPr>
      </w:pPr>
      <w:r>
        <w:rPr>
          <w:rFonts w:hint="eastAsia" w:ascii="宋体" w:hAnsi="宋体" w:cs="宋体"/>
          <w:kern w:val="0"/>
          <w:sz w:val="32"/>
          <w:szCs w:val="32"/>
        </w:rPr>
        <w:t>三、部门支出总体情况表（预算公开03表）</w:t>
      </w:r>
    </w:p>
    <w:p>
      <w:pPr>
        <w:tabs>
          <w:tab w:val="center" w:pos="4475"/>
        </w:tabs>
        <w:spacing w:line="590" w:lineRule="exact"/>
        <w:ind w:firstLine="640" w:firstLineChars="200"/>
        <w:rPr>
          <w:rFonts w:ascii="宋体" w:hAnsi="宋体" w:cs="宋体"/>
          <w:kern w:val="0"/>
          <w:sz w:val="32"/>
          <w:szCs w:val="32"/>
        </w:rPr>
      </w:pPr>
      <w:r>
        <w:rPr>
          <w:rFonts w:hint="eastAsia" w:ascii="宋体" w:hAnsi="宋体" w:cs="宋体"/>
          <w:kern w:val="0"/>
          <w:sz w:val="32"/>
          <w:szCs w:val="32"/>
        </w:rPr>
        <w:t>四、财政拨款收支总体情况表（预算公开04表）</w:t>
      </w:r>
    </w:p>
    <w:p>
      <w:pPr>
        <w:tabs>
          <w:tab w:val="center" w:pos="4475"/>
        </w:tabs>
        <w:spacing w:line="590" w:lineRule="exact"/>
        <w:ind w:firstLine="640" w:firstLineChars="200"/>
        <w:rPr>
          <w:rFonts w:ascii="宋体" w:hAnsi="宋体" w:cs="宋体"/>
          <w:kern w:val="0"/>
          <w:sz w:val="32"/>
          <w:szCs w:val="32"/>
        </w:rPr>
      </w:pPr>
      <w:r>
        <w:rPr>
          <w:rFonts w:hint="eastAsia" w:ascii="宋体" w:hAnsi="宋体" w:cs="宋体"/>
          <w:kern w:val="0"/>
          <w:sz w:val="32"/>
          <w:szCs w:val="32"/>
        </w:rPr>
        <w:t>五、一般公共预算支出情况表（预算公开05表）</w:t>
      </w:r>
    </w:p>
    <w:p>
      <w:pPr>
        <w:tabs>
          <w:tab w:val="center" w:pos="4475"/>
        </w:tabs>
        <w:spacing w:line="590" w:lineRule="exact"/>
        <w:ind w:firstLine="640" w:firstLineChars="200"/>
        <w:rPr>
          <w:rFonts w:ascii="宋体" w:hAnsi="宋体" w:cs="宋体"/>
          <w:kern w:val="0"/>
          <w:sz w:val="32"/>
          <w:szCs w:val="32"/>
        </w:rPr>
      </w:pPr>
      <w:r>
        <w:rPr>
          <w:rFonts w:hint="eastAsia" w:ascii="宋体" w:hAnsi="宋体" w:cs="宋体"/>
          <w:kern w:val="0"/>
          <w:sz w:val="32"/>
          <w:szCs w:val="32"/>
        </w:rPr>
        <w:t>六、一般公共预算基本支出情况表（预算公开06表）</w:t>
      </w:r>
    </w:p>
    <w:p>
      <w:pPr>
        <w:tabs>
          <w:tab w:val="center" w:pos="4475"/>
        </w:tabs>
        <w:spacing w:line="590" w:lineRule="exact"/>
        <w:ind w:firstLine="640" w:firstLineChars="200"/>
        <w:rPr>
          <w:rFonts w:ascii="宋体" w:hAnsi="宋体" w:cs="宋体"/>
          <w:w w:val="90"/>
          <w:kern w:val="0"/>
          <w:sz w:val="32"/>
          <w:szCs w:val="32"/>
        </w:rPr>
      </w:pPr>
      <w:r>
        <w:rPr>
          <w:rFonts w:hint="eastAsia" w:ascii="宋体" w:hAnsi="宋体" w:cs="宋体"/>
          <w:kern w:val="0"/>
          <w:sz w:val="32"/>
          <w:szCs w:val="32"/>
        </w:rPr>
        <w:t>七、</w:t>
      </w:r>
      <w:r>
        <w:rPr>
          <w:rFonts w:hint="eastAsia" w:ascii="宋体" w:hAnsi="宋体" w:cs="宋体"/>
          <w:w w:val="90"/>
          <w:kern w:val="0"/>
          <w:sz w:val="32"/>
          <w:szCs w:val="32"/>
        </w:rPr>
        <w:t>一般公共预算“三公”经费、会议费和培训费支出情况表（预算公开07表）</w:t>
      </w:r>
    </w:p>
    <w:p>
      <w:pPr>
        <w:tabs>
          <w:tab w:val="center" w:pos="4475"/>
        </w:tabs>
        <w:spacing w:line="590" w:lineRule="exact"/>
        <w:ind w:firstLine="640" w:firstLineChars="200"/>
        <w:rPr>
          <w:rFonts w:ascii="宋体" w:hAnsi="宋体" w:cs="宋体"/>
          <w:kern w:val="0"/>
          <w:sz w:val="32"/>
          <w:szCs w:val="32"/>
        </w:rPr>
      </w:pPr>
      <w:r>
        <w:rPr>
          <w:rFonts w:hint="eastAsia" w:ascii="宋体" w:hAnsi="宋体" w:cs="宋体"/>
          <w:kern w:val="0"/>
          <w:sz w:val="32"/>
          <w:szCs w:val="32"/>
        </w:rPr>
        <w:t>八、政府性基金预算支出情况表（预算公开08表）</w:t>
      </w:r>
    </w:p>
    <w:p>
      <w:pPr>
        <w:tabs>
          <w:tab w:val="center" w:pos="4475"/>
        </w:tabs>
        <w:spacing w:line="590" w:lineRule="exact"/>
        <w:ind w:left="638" w:leftChars="304"/>
        <w:rPr>
          <w:rFonts w:ascii="宋体" w:hAnsi="宋体" w:cs="宋体"/>
          <w:kern w:val="0"/>
          <w:sz w:val="32"/>
          <w:szCs w:val="32"/>
        </w:rPr>
      </w:pPr>
      <w:r>
        <w:rPr>
          <w:rFonts w:hint="eastAsia" w:ascii="宋体" w:hAnsi="宋体" w:cs="宋体"/>
          <w:kern w:val="0"/>
          <w:sz w:val="32"/>
          <w:szCs w:val="32"/>
        </w:rPr>
        <w:t xml:space="preserve">九、国有资本经营预算支出情况表（预算公开09表）    </w:t>
      </w:r>
    </w:p>
    <w:p>
      <w:pPr>
        <w:tabs>
          <w:tab w:val="center" w:pos="4475"/>
        </w:tabs>
        <w:spacing w:line="590" w:lineRule="exact"/>
        <w:ind w:left="638" w:leftChars="304"/>
        <w:rPr>
          <w:rFonts w:ascii="宋体" w:hAnsi="宋体" w:cs="宋体"/>
          <w:kern w:val="0"/>
          <w:sz w:val="32"/>
          <w:szCs w:val="32"/>
        </w:rPr>
      </w:pPr>
      <w:r>
        <w:rPr>
          <w:rFonts w:hint="eastAsia" w:ascii="宋体" w:hAnsi="宋体" w:cs="宋体"/>
          <w:kern w:val="0"/>
          <w:sz w:val="32"/>
          <w:szCs w:val="32"/>
        </w:rPr>
        <w:t>十、预算项目绩效目标公开表（预算公开10表）</w:t>
      </w:r>
    </w:p>
    <w:p>
      <w:pPr>
        <w:tabs>
          <w:tab w:val="center" w:pos="4475"/>
        </w:tabs>
        <w:spacing w:line="590" w:lineRule="exact"/>
        <w:ind w:firstLine="640" w:firstLineChars="200"/>
        <w:rPr>
          <w:rFonts w:ascii="宋体" w:hAnsi="宋体" w:cs="宋体"/>
          <w:kern w:val="0"/>
          <w:sz w:val="32"/>
          <w:szCs w:val="32"/>
        </w:rPr>
      </w:pPr>
      <w:r>
        <w:rPr>
          <w:rFonts w:hint="eastAsia" w:ascii="宋体" w:hAnsi="宋体" w:cs="宋体"/>
          <w:kern w:val="0"/>
          <w:sz w:val="32"/>
          <w:szCs w:val="32"/>
        </w:rPr>
        <w:t>以上表格详见附件。</w:t>
      </w:r>
    </w:p>
    <w:p>
      <w:pPr>
        <w:spacing w:line="540" w:lineRule="exact"/>
        <w:ind w:firstLine="640" w:firstLineChars="200"/>
        <w:rPr>
          <w:rFonts w:ascii="仿宋" w:hAnsi="仿宋" w:eastAsia="仿宋"/>
          <w:sz w:val="32"/>
          <w:szCs w:val="32"/>
        </w:rPr>
      </w:pPr>
    </w:p>
    <w:sectPr>
      <w:footerReference r:id="rId3" w:type="default"/>
      <w:pgSz w:w="11906" w:h="16838"/>
      <w:pgMar w:top="1985" w:right="1644" w:bottom="1985" w:left="1644" w:header="851" w:footer="131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h="553" w:hRule="exact" w:wrap="around" w:vAnchor="text" w:hAnchor="margin" w:xAlign="outside" w:y="1"/>
      <w:ind w:left="210" w:leftChars="100" w:right="210" w:rightChars="100"/>
      <w:jc w:val="center"/>
      <w:rPr>
        <w:rStyle w:val="11"/>
        <w:rFonts w:ascii="宋体"/>
        <w:sz w:val="28"/>
        <w:szCs w:val="28"/>
      </w:rPr>
    </w:pPr>
    <w:r>
      <w:rPr>
        <w:rStyle w:val="11"/>
        <w:rFonts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4</w:t>
    </w:r>
    <w:r>
      <w:rPr>
        <w:rStyle w:val="11"/>
        <w:rFonts w:ascii="宋体" w:hAnsi="宋体"/>
        <w:sz w:val="28"/>
        <w:szCs w:val="28"/>
      </w:rPr>
      <w:fldChar w:fldCharType="end"/>
    </w:r>
    <w:r>
      <w:rPr>
        <w:rStyle w:val="11"/>
        <w:rFonts w:ascii="宋体" w:hAnsi="宋体"/>
        <w:sz w:val="28"/>
        <w:szCs w:val="28"/>
      </w:rPr>
      <w:t>—</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9537C"/>
    <w:multiLevelType w:val="singleLevel"/>
    <w:tmpl w:val="5F9953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YyYWEyZWQ0OTMyYTMyNDdjZTUzMTYzN2Y2OWE2ZTMifQ=="/>
  </w:docVars>
  <w:rsids>
    <w:rsidRoot w:val="0018425E"/>
    <w:rsid w:val="00006622"/>
    <w:rsid w:val="0001575E"/>
    <w:rsid w:val="00016CC4"/>
    <w:rsid w:val="000171BC"/>
    <w:rsid w:val="00040F75"/>
    <w:rsid w:val="00080476"/>
    <w:rsid w:val="000849DB"/>
    <w:rsid w:val="00090A42"/>
    <w:rsid w:val="000922F7"/>
    <w:rsid w:val="00094590"/>
    <w:rsid w:val="00096CBF"/>
    <w:rsid w:val="000A2EB5"/>
    <w:rsid w:val="000B3C7C"/>
    <w:rsid w:val="000C26FB"/>
    <w:rsid w:val="000D0EC7"/>
    <w:rsid w:val="000D581F"/>
    <w:rsid w:val="000E5BFF"/>
    <w:rsid w:val="000F563A"/>
    <w:rsid w:val="001157CD"/>
    <w:rsid w:val="001238AF"/>
    <w:rsid w:val="001325F3"/>
    <w:rsid w:val="00133550"/>
    <w:rsid w:val="00135F16"/>
    <w:rsid w:val="00141B3D"/>
    <w:rsid w:val="00152108"/>
    <w:rsid w:val="001534FF"/>
    <w:rsid w:val="00153DCC"/>
    <w:rsid w:val="001613FF"/>
    <w:rsid w:val="00162A96"/>
    <w:rsid w:val="001759C9"/>
    <w:rsid w:val="00182938"/>
    <w:rsid w:val="0018425E"/>
    <w:rsid w:val="001A4EA0"/>
    <w:rsid w:val="001A4FD7"/>
    <w:rsid w:val="001B3DA2"/>
    <w:rsid w:val="001C4F91"/>
    <w:rsid w:val="001D5C32"/>
    <w:rsid w:val="001E1C97"/>
    <w:rsid w:val="001E2467"/>
    <w:rsid w:val="002003C8"/>
    <w:rsid w:val="00206F6E"/>
    <w:rsid w:val="00212961"/>
    <w:rsid w:val="00216389"/>
    <w:rsid w:val="00217074"/>
    <w:rsid w:val="0023115F"/>
    <w:rsid w:val="00235C3E"/>
    <w:rsid w:val="00242455"/>
    <w:rsid w:val="00266B81"/>
    <w:rsid w:val="002849B4"/>
    <w:rsid w:val="002B5396"/>
    <w:rsid w:val="002C4B7A"/>
    <w:rsid w:val="002D168A"/>
    <w:rsid w:val="002D34EA"/>
    <w:rsid w:val="002E0F08"/>
    <w:rsid w:val="002E3F02"/>
    <w:rsid w:val="002F412B"/>
    <w:rsid w:val="00313F88"/>
    <w:rsid w:val="00321351"/>
    <w:rsid w:val="00322854"/>
    <w:rsid w:val="0032359E"/>
    <w:rsid w:val="003268E8"/>
    <w:rsid w:val="003448A7"/>
    <w:rsid w:val="00360289"/>
    <w:rsid w:val="00361FD8"/>
    <w:rsid w:val="00375FB8"/>
    <w:rsid w:val="003764BA"/>
    <w:rsid w:val="003A1189"/>
    <w:rsid w:val="003B0AB6"/>
    <w:rsid w:val="003B6F47"/>
    <w:rsid w:val="003C28DE"/>
    <w:rsid w:val="003D1939"/>
    <w:rsid w:val="003E476E"/>
    <w:rsid w:val="003F1CFB"/>
    <w:rsid w:val="003F24EE"/>
    <w:rsid w:val="004059DF"/>
    <w:rsid w:val="0041559C"/>
    <w:rsid w:val="00422A51"/>
    <w:rsid w:val="00434139"/>
    <w:rsid w:val="004431C1"/>
    <w:rsid w:val="00452C73"/>
    <w:rsid w:val="0045621F"/>
    <w:rsid w:val="00462320"/>
    <w:rsid w:val="0046341D"/>
    <w:rsid w:val="004664D2"/>
    <w:rsid w:val="0047303C"/>
    <w:rsid w:val="004758EF"/>
    <w:rsid w:val="0047791D"/>
    <w:rsid w:val="00483A98"/>
    <w:rsid w:val="00487442"/>
    <w:rsid w:val="004A3912"/>
    <w:rsid w:val="004A541E"/>
    <w:rsid w:val="004B09CD"/>
    <w:rsid w:val="004B4922"/>
    <w:rsid w:val="004C3DA8"/>
    <w:rsid w:val="004C5BCD"/>
    <w:rsid w:val="004D1DCB"/>
    <w:rsid w:val="004E096F"/>
    <w:rsid w:val="004F0326"/>
    <w:rsid w:val="004F0803"/>
    <w:rsid w:val="004F4ABD"/>
    <w:rsid w:val="00504676"/>
    <w:rsid w:val="00514A98"/>
    <w:rsid w:val="0051518D"/>
    <w:rsid w:val="005207EA"/>
    <w:rsid w:val="00521474"/>
    <w:rsid w:val="005328E8"/>
    <w:rsid w:val="00536A44"/>
    <w:rsid w:val="00543476"/>
    <w:rsid w:val="00564756"/>
    <w:rsid w:val="005A03D6"/>
    <w:rsid w:val="005A2543"/>
    <w:rsid w:val="005A5AC8"/>
    <w:rsid w:val="005B49FF"/>
    <w:rsid w:val="005B5689"/>
    <w:rsid w:val="005B76A1"/>
    <w:rsid w:val="005C3BC7"/>
    <w:rsid w:val="005D334F"/>
    <w:rsid w:val="005E1709"/>
    <w:rsid w:val="005E18C0"/>
    <w:rsid w:val="005E5170"/>
    <w:rsid w:val="005F7D6D"/>
    <w:rsid w:val="00622575"/>
    <w:rsid w:val="0062344F"/>
    <w:rsid w:val="00625512"/>
    <w:rsid w:val="00634544"/>
    <w:rsid w:val="006353F8"/>
    <w:rsid w:val="00645E7B"/>
    <w:rsid w:val="00656645"/>
    <w:rsid w:val="00663CC0"/>
    <w:rsid w:val="00665219"/>
    <w:rsid w:val="006822A4"/>
    <w:rsid w:val="006826E6"/>
    <w:rsid w:val="00683CA1"/>
    <w:rsid w:val="0069163F"/>
    <w:rsid w:val="00693AC6"/>
    <w:rsid w:val="006A2103"/>
    <w:rsid w:val="006A5737"/>
    <w:rsid w:val="006B4B3D"/>
    <w:rsid w:val="006C5355"/>
    <w:rsid w:val="006E5D72"/>
    <w:rsid w:val="006F7A73"/>
    <w:rsid w:val="006F7F2F"/>
    <w:rsid w:val="00746C5F"/>
    <w:rsid w:val="0074783F"/>
    <w:rsid w:val="0075188E"/>
    <w:rsid w:val="0076531F"/>
    <w:rsid w:val="00776D6D"/>
    <w:rsid w:val="007803CE"/>
    <w:rsid w:val="00791E8C"/>
    <w:rsid w:val="007A5F0E"/>
    <w:rsid w:val="007B00FB"/>
    <w:rsid w:val="007B0F14"/>
    <w:rsid w:val="007C0C37"/>
    <w:rsid w:val="007C1F81"/>
    <w:rsid w:val="007D3649"/>
    <w:rsid w:val="00820A33"/>
    <w:rsid w:val="008403BE"/>
    <w:rsid w:val="008533E5"/>
    <w:rsid w:val="0085570D"/>
    <w:rsid w:val="00865974"/>
    <w:rsid w:val="00873473"/>
    <w:rsid w:val="00885B81"/>
    <w:rsid w:val="00893607"/>
    <w:rsid w:val="008C5954"/>
    <w:rsid w:val="008D0BF7"/>
    <w:rsid w:val="008D453E"/>
    <w:rsid w:val="008E65EE"/>
    <w:rsid w:val="008F4101"/>
    <w:rsid w:val="008F4EF7"/>
    <w:rsid w:val="008F50D0"/>
    <w:rsid w:val="00912B4B"/>
    <w:rsid w:val="00934489"/>
    <w:rsid w:val="00941600"/>
    <w:rsid w:val="00950F84"/>
    <w:rsid w:val="00952852"/>
    <w:rsid w:val="009538C8"/>
    <w:rsid w:val="00953988"/>
    <w:rsid w:val="009640E2"/>
    <w:rsid w:val="00964AE3"/>
    <w:rsid w:val="00967D80"/>
    <w:rsid w:val="00970223"/>
    <w:rsid w:val="009852AE"/>
    <w:rsid w:val="0098562D"/>
    <w:rsid w:val="009968E8"/>
    <w:rsid w:val="009A3611"/>
    <w:rsid w:val="009A3712"/>
    <w:rsid w:val="009B00A9"/>
    <w:rsid w:val="009B4BFA"/>
    <w:rsid w:val="009E587C"/>
    <w:rsid w:val="009F6B8A"/>
    <w:rsid w:val="00A02A3B"/>
    <w:rsid w:val="00A03711"/>
    <w:rsid w:val="00A135E2"/>
    <w:rsid w:val="00A22DCA"/>
    <w:rsid w:val="00A54A76"/>
    <w:rsid w:val="00A64351"/>
    <w:rsid w:val="00A66DC0"/>
    <w:rsid w:val="00A91C3C"/>
    <w:rsid w:val="00A96196"/>
    <w:rsid w:val="00AA3234"/>
    <w:rsid w:val="00AA48B7"/>
    <w:rsid w:val="00AA4E9F"/>
    <w:rsid w:val="00AA6841"/>
    <w:rsid w:val="00AC2A74"/>
    <w:rsid w:val="00AC6DAC"/>
    <w:rsid w:val="00AC7813"/>
    <w:rsid w:val="00AD3042"/>
    <w:rsid w:val="00AD4F12"/>
    <w:rsid w:val="00AE6E65"/>
    <w:rsid w:val="00B0357B"/>
    <w:rsid w:val="00B22569"/>
    <w:rsid w:val="00B3055A"/>
    <w:rsid w:val="00B858ED"/>
    <w:rsid w:val="00B92246"/>
    <w:rsid w:val="00BA15FC"/>
    <w:rsid w:val="00BA38A0"/>
    <w:rsid w:val="00BB6477"/>
    <w:rsid w:val="00BC2422"/>
    <w:rsid w:val="00BC5589"/>
    <w:rsid w:val="00BD7C7D"/>
    <w:rsid w:val="00C2090D"/>
    <w:rsid w:val="00C345A2"/>
    <w:rsid w:val="00C44D3D"/>
    <w:rsid w:val="00C46DFC"/>
    <w:rsid w:val="00C528D2"/>
    <w:rsid w:val="00C67564"/>
    <w:rsid w:val="00C71357"/>
    <w:rsid w:val="00C902DF"/>
    <w:rsid w:val="00C96231"/>
    <w:rsid w:val="00C96D4A"/>
    <w:rsid w:val="00CB7D60"/>
    <w:rsid w:val="00CD5066"/>
    <w:rsid w:val="00CE038C"/>
    <w:rsid w:val="00CE5DF8"/>
    <w:rsid w:val="00CF6B68"/>
    <w:rsid w:val="00D20E50"/>
    <w:rsid w:val="00D214D6"/>
    <w:rsid w:val="00D440F9"/>
    <w:rsid w:val="00D4648D"/>
    <w:rsid w:val="00D605F1"/>
    <w:rsid w:val="00D6552C"/>
    <w:rsid w:val="00D66025"/>
    <w:rsid w:val="00D7043F"/>
    <w:rsid w:val="00D802A2"/>
    <w:rsid w:val="00D87FB4"/>
    <w:rsid w:val="00DB243F"/>
    <w:rsid w:val="00DF46A5"/>
    <w:rsid w:val="00E1121C"/>
    <w:rsid w:val="00E3277F"/>
    <w:rsid w:val="00E43F56"/>
    <w:rsid w:val="00E4481C"/>
    <w:rsid w:val="00E77602"/>
    <w:rsid w:val="00E778AA"/>
    <w:rsid w:val="00E821D4"/>
    <w:rsid w:val="00E839F8"/>
    <w:rsid w:val="00E923A1"/>
    <w:rsid w:val="00E954E8"/>
    <w:rsid w:val="00EA0267"/>
    <w:rsid w:val="00EA600E"/>
    <w:rsid w:val="00EC0C37"/>
    <w:rsid w:val="00EC29BF"/>
    <w:rsid w:val="00ED3AD0"/>
    <w:rsid w:val="00EE53A2"/>
    <w:rsid w:val="00EF354A"/>
    <w:rsid w:val="00EF5B1E"/>
    <w:rsid w:val="00EF638D"/>
    <w:rsid w:val="00F00E2D"/>
    <w:rsid w:val="00F022F8"/>
    <w:rsid w:val="00F05585"/>
    <w:rsid w:val="00F05DF1"/>
    <w:rsid w:val="00F104F2"/>
    <w:rsid w:val="00F17942"/>
    <w:rsid w:val="00F3136B"/>
    <w:rsid w:val="00F36BD0"/>
    <w:rsid w:val="00F37CCC"/>
    <w:rsid w:val="00F50D35"/>
    <w:rsid w:val="00F539CD"/>
    <w:rsid w:val="00F55ED2"/>
    <w:rsid w:val="00F7166C"/>
    <w:rsid w:val="00F72B6F"/>
    <w:rsid w:val="00F83128"/>
    <w:rsid w:val="00F91214"/>
    <w:rsid w:val="00F97543"/>
    <w:rsid w:val="00FB06A5"/>
    <w:rsid w:val="00FD2DBC"/>
    <w:rsid w:val="00FE14BA"/>
    <w:rsid w:val="00FE67FB"/>
    <w:rsid w:val="02BD75DA"/>
    <w:rsid w:val="035533EB"/>
    <w:rsid w:val="04E6106A"/>
    <w:rsid w:val="05566421"/>
    <w:rsid w:val="07CF55F5"/>
    <w:rsid w:val="09646285"/>
    <w:rsid w:val="0A89107E"/>
    <w:rsid w:val="0BD63EB1"/>
    <w:rsid w:val="0C7802AA"/>
    <w:rsid w:val="0D2E7A52"/>
    <w:rsid w:val="0DEB7C80"/>
    <w:rsid w:val="0FBF624F"/>
    <w:rsid w:val="0FC5635E"/>
    <w:rsid w:val="11EE33C3"/>
    <w:rsid w:val="143F6A61"/>
    <w:rsid w:val="15A0305A"/>
    <w:rsid w:val="174D7E28"/>
    <w:rsid w:val="18C80DF9"/>
    <w:rsid w:val="19F22590"/>
    <w:rsid w:val="1DC31AF1"/>
    <w:rsid w:val="1F836E61"/>
    <w:rsid w:val="2020322B"/>
    <w:rsid w:val="213D4B36"/>
    <w:rsid w:val="216E572F"/>
    <w:rsid w:val="21D84A28"/>
    <w:rsid w:val="230303CB"/>
    <w:rsid w:val="23954BD3"/>
    <w:rsid w:val="24696B33"/>
    <w:rsid w:val="246D0A9E"/>
    <w:rsid w:val="272B59F4"/>
    <w:rsid w:val="274E4B21"/>
    <w:rsid w:val="28C2415D"/>
    <w:rsid w:val="291A2B97"/>
    <w:rsid w:val="2A596191"/>
    <w:rsid w:val="2CE101E6"/>
    <w:rsid w:val="2EB842EE"/>
    <w:rsid w:val="3012594A"/>
    <w:rsid w:val="3186135C"/>
    <w:rsid w:val="324A4137"/>
    <w:rsid w:val="334212B2"/>
    <w:rsid w:val="355009B3"/>
    <w:rsid w:val="37156229"/>
    <w:rsid w:val="37852C5F"/>
    <w:rsid w:val="3792350E"/>
    <w:rsid w:val="3B4B78BC"/>
    <w:rsid w:val="3BFF2E50"/>
    <w:rsid w:val="3CEB2AB1"/>
    <w:rsid w:val="3D1E56A0"/>
    <w:rsid w:val="3E7A3FF6"/>
    <w:rsid w:val="3F2A5FBD"/>
    <w:rsid w:val="41920CFE"/>
    <w:rsid w:val="42D57A4D"/>
    <w:rsid w:val="43664B49"/>
    <w:rsid w:val="436F454F"/>
    <w:rsid w:val="43B0096E"/>
    <w:rsid w:val="454123E7"/>
    <w:rsid w:val="454B459E"/>
    <w:rsid w:val="456E262B"/>
    <w:rsid w:val="46DE47E3"/>
    <w:rsid w:val="48F2191F"/>
    <w:rsid w:val="4A027EC4"/>
    <w:rsid w:val="4B3F45FD"/>
    <w:rsid w:val="4B62313B"/>
    <w:rsid w:val="4BA8358C"/>
    <w:rsid w:val="4D50664E"/>
    <w:rsid w:val="519136D9"/>
    <w:rsid w:val="51B91C0E"/>
    <w:rsid w:val="52EA07F6"/>
    <w:rsid w:val="53322F1E"/>
    <w:rsid w:val="538E4F27"/>
    <w:rsid w:val="565A73DF"/>
    <w:rsid w:val="56A51265"/>
    <w:rsid w:val="577A0743"/>
    <w:rsid w:val="5794339A"/>
    <w:rsid w:val="58680017"/>
    <w:rsid w:val="59F353BB"/>
    <w:rsid w:val="5CCF0F16"/>
    <w:rsid w:val="5DBF7277"/>
    <w:rsid w:val="5E831267"/>
    <w:rsid w:val="5EA70098"/>
    <w:rsid w:val="62044DAE"/>
    <w:rsid w:val="63911317"/>
    <w:rsid w:val="667D3F73"/>
    <w:rsid w:val="6711066B"/>
    <w:rsid w:val="67E1461B"/>
    <w:rsid w:val="69E87303"/>
    <w:rsid w:val="69FE42E7"/>
    <w:rsid w:val="6AB94491"/>
    <w:rsid w:val="6BF30DC0"/>
    <w:rsid w:val="6F7A202B"/>
    <w:rsid w:val="74077D35"/>
    <w:rsid w:val="766E7A21"/>
    <w:rsid w:val="789B25C4"/>
    <w:rsid w:val="7A026D35"/>
    <w:rsid w:val="7B15146E"/>
    <w:rsid w:val="7BD42BEE"/>
    <w:rsid w:val="7CB11A57"/>
    <w:rsid w:val="7DCA74A7"/>
    <w:rsid w:val="7E244E09"/>
    <w:rsid w:val="7F045C3D"/>
    <w:rsid w:val="7FFF21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Plain Text"/>
    <w:basedOn w:val="1"/>
    <w:link w:val="12"/>
    <w:autoRedefine/>
    <w:qFormat/>
    <w:uiPriority w:val="99"/>
    <w:rPr>
      <w:rFonts w:ascii="宋体" w:hAnsi="Courier New"/>
      <w:kern w:val="0"/>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3"/>
    <w:autoRedefine/>
    <w:qFormat/>
    <w:uiPriority w:val="99"/>
    <w:pPr>
      <w:tabs>
        <w:tab w:val="center" w:pos="4153"/>
        <w:tab w:val="right" w:pos="8306"/>
      </w:tabs>
      <w:snapToGrid w:val="0"/>
      <w:jc w:val="left"/>
    </w:pPr>
    <w:rPr>
      <w:rFonts w:ascii="Times New Roman" w:hAnsi="Times New Roman"/>
      <w:kern w:val="0"/>
      <w:sz w:val="18"/>
      <w:szCs w:val="20"/>
    </w:rPr>
  </w:style>
  <w:style w:type="paragraph" w:styleId="6">
    <w:name w:val="header"/>
    <w:basedOn w:val="1"/>
    <w:link w:val="14"/>
    <w:autoRedefine/>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autoRedefine/>
    <w:qFormat/>
    <w:locked/>
    <w:uiPriority w:val="22"/>
    <w:rPr>
      <w:b/>
      <w:bCs/>
    </w:rPr>
  </w:style>
  <w:style w:type="character" w:styleId="11">
    <w:name w:val="page number"/>
    <w:autoRedefine/>
    <w:qFormat/>
    <w:uiPriority w:val="99"/>
    <w:rPr>
      <w:rFonts w:cs="Times New Roman"/>
    </w:rPr>
  </w:style>
  <w:style w:type="character" w:customStyle="1" w:styleId="12">
    <w:name w:val="纯文本 字符"/>
    <w:link w:val="3"/>
    <w:autoRedefine/>
    <w:qFormat/>
    <w:locked/>
    <w:uiPriority w:val="99"/>
    <w:rPr>
      <w:rFonts w:ascii="宋体" w:hAnsi="Courier New" w:eastAsia="宋体" w:cs="Times New Roman"/>
      <w:sz w:val="21"/>
    </w:rPr>
  </w:style>
  <w:style w:type="character" w:customStyle="1" w:styleId="13">
    <w:name w:val="页脚 字符"/>
    <w:link w:val="5"/>
    <w:autoRedefine/>
    <w:qFormat/>
    <w:locked/>
    <w:uiPriority w:val="99"/>
    <w:rPr>
      <w:rFonts w:cs="Times New Roman"/>
      <w:sz w:val="18"/>
    </w:rPr>
  </w:style>
  <w:style w:type="character" w:customStyle="1" w:styleId="14">
    <w:name w:val="页眉 字符"/>
    <w:link w:val="6"/>
    <w:autoRedefine/>
    <w:qFormat/>
    <w:locked/>
    <w:uiPriority w:val="99"/>
    <w:rPr>
      <w:rFonts w:cs="Times New Roman"/>
      <w:sz w:val="18"/>
    </w:rPr>
  </w:style>
  <w:style w:type="character" w:customStyle="1" w:styleId="15">
    <w:name w:val="15"/>
    <w:autoRedefine/>
    <w:qFormat/>
    <w:uiPriority w:val="99"/>
    <w:rPr>
      <w:rFonts w:ascii="Times New Roman" w:hAnsi="Times New Roman"/>
      <w:b/>
    </w:rPr>
  </w:style>
  <w:style w:type="character" w:customStyle="1" w:styleId="16">
    <w:name w:val="批注框文本 字符"/>
    <w:link w:val="4"/>
    <w:autoRedefine/>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DJKF</Company>
  <Pages>17</Pages>
  <Words>3641</Words>
  <Characters>3641</Characters>
  <Lines>98</Lines>
  <Paragraphs>28</Paragraphs>
  <TotalTime>10</TotalTime>
  <ScaleCrop>false</ScaleCrop>
  <LinksUpToDate>false</LinksUpToDate>
  <CharactersWithSpaces>7254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2018-07-23T10:28:00Z</dcterms:created>
  <dc:creator>莫佩贝</dc:creator>
  <cp:lastModifiedBy>WPS_1601470598</cp:lastModifiedBy>
  <cp:lastPrinted>2020-12-04T07:35:00Z</cp:lastPrinted>
  <dcterms:modified xsi:type="dcterms:W3CDTF">2024-03-07T01:38:51Z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F8AB0EF962D84A2895FE90830DA33D6E</vt:lpwstr>
  </property>
</Properties>
</file>