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jc w:val="center"/>
        <w:rPr>
          <w:rFonts w:hint="eastAsia"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广西壮族自治区粮食和物资储备局</w:t>
      </w:r>
    </w:p>
    <w:p>
      <w:pPr>
        <w:adjustRightInd w:val="0"/>
        <w:snapToGrid w:val="0"/>
        <w:spacing w:line="600" w:lineRule="exact"/>
        <w:ind w:right="-333" w:rightChars="-104"/>
        <w:jc w:val="center"/>
        <w:rPr>
          <w:rFonts w:hint="eastAsia" w:ascii="黑体" w:hAnsi="宋体" w:eastAsia="黑体" w:cs="Times New Roman"/>
          <w:bCs/>
          <w:szCs w:val="32"/>
        </w:rPr>
      </w:pPr>
      <w:r>
        <w:rPr>
          <w:rFonts w:hint="eastAsia" w:ascii="方正小标宋简体" w:hAnsi="Times New Roman" w:eastAsia="方正小标宋简体" w:cs="Times New Roman"/>
          <w:sz w:val="44"/>
          <w:szCs w:val="44"/>
        </w:rPr>
        <w:t>2024年部门预算公开</w:t>
      </w:r>
    </w:p>
    <w:bookmarkEnd w:id="0"/>
    <w:p>
      <w:pPr>
        <w:adjustRightInd w:val="0"/>
        <w:snapToGrid w:val="0"/>
        <w:spacing w:line="600" w:lineRule="exact"/>
        <w:ind w:right="-333" w:rightChars="-104"/>
        <w:jc w:val="center"/>
        <w:rPr>
          <w:rFonts w:hint="eastAsia" w:ascii="黑体" w:hAnsi="宋体" w:eastAsia="黑体" w:cs="Times New Roman"/>
          <w:bCs/>
          <w:szCs w:val="32"/>
        </w:rPr>
      </w:pPr>
    </w:p>
    <w:p>
      <w:pPr>
        <w:adjustRightInd w:val="0"/>
        <w:snapToGrid w:val="0"/>
        <w:spacing w:line="600" w:lineRule="exact"/>
        <w:ind w:right="-333" w:rightChars="-104"/>
        <w:jc w:val="center"/>
        <w:rPr>
          <w:rFonts w:hint="eastAsia" w:ascii="黑体" w:hAnsi="宋体" w:eastAsia="黑体" w:cs="Times New Roman"/>
          <w:bCs/>
          <w:szCs w:val="32"/>
        </w:rPr>
      </w:pPr>
      <w:r>
        <w:rPr>
          <w:rFonts w:hint="eastAsia" w:ascii="黑体" w:hAnsi="宋体" w:eastAsia="黑体" w:cs="Times New Roman"/>
          <w:bCs/>
          <w:szCs w:val="32"/>
        </w:rPr>
        <w:t>目  录</w:t>
      </w: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r>
        <w:rPr>
          <w:rFonts w:hint="eastAsia" w:ascii="黑体" w:hAnsi="宋体" w:eastAsia="黑体" w:cs="Times New Roman"/>
          <w:bCs/>
          <w:szCs w:val="32"/>
        </w:rPr>
        <w:t>第一部分：</w:t>
      </w:r>
      <w:r>
        <w:rPr>
          <w:rFonts w:hint="eastAsia" w:ascii="黑体" w:hAnsi="宋体" w:eastAsia="黑体" w:cs="Times New Roman"/>
          <w:szCs w:val="32"/>
        </w:rPr>
        <w:t>自治区粮食和物资储备局</w:t>
      </w:r>
      <w:r>
        <w:rPr>
          <w:rFonts w:hint="eastAsia" w:ascii="黑体" w:hAnsi="宋体" w:eastAsia="黑体" w:cs="Times New Roman"/>
          <w:bCs/>
          <w:szCs w:val="32"/>
        </w:rPr>
        <w:t>概况</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一、主要职责</w:t>
      </w:r>
    </w:p>
    <w:p>
      <w:pPr>
        <w:autoSpaceDE w:val="0"/>
        <w:autoSpaceDN w:val="0"/>
        <w:adjustRightInd w:val="0"/>
        <w:spacing w:line="590" w:lineRule="exact"/>
        <w:ind w:firstLine="640" w:firstLineChars="200"/>
        <w:rPr>
          <w:rFonts w:hint="eastAsia" w:ascii="黑体" w:hAnsi="宋体" w:eastAsia="黑体" w:cs="Times New Roman"/>
          <w:bCs/>
          <w:szCs w:val="32"/>
        </w:rPr>
      </w:pPr>
      <w:r>
        <w:rPr>
          <w:rFonts w:hint="eastAsia" w:ascii="仿宋_GB2312" w:hAnsi="黑体" w:cs="Times New Roman"/>
          <w:szCs w:val="32"/>
        </w:rPr>
        <w:t>二、机构设置情况</w:t>
      </w:r>
    </w:p>
    <w:p>
      <w:pPr>
        <w:adjustRightInd w:val="0"/>
        <w:snapToGrid w:val="0"/>
        <w:spacing w:line="600" w:lineRule="exact"/>
        <w:ind w:right="-333" w:rightChars="-104" w:firstLine="640" w:firstLineChars="200"/>
        <w:rPr>
          <w:rFonts w:hint="eastAsia" w:ascii="黑体" w:hAnsi="宋体" w:eastAsia="黑体" w:cs="Times New Roman"/>
          <w:bCs/>
          <w:szCs w:val="32"/>
        </w:rPr>
      </w:pPr>
      <w:r>
        <w:rPr>
          <w:rFonts w:hint="eastAsia" w:ascii="黑体" w:hAnsi="Times New Roman" w:eastAsia="黑体" w:cs="Times New Roman"/>
          <w:szCs w:val="32"/>
        </w:rPr>
        <w:t>第二部分：</w:t>
      </w:r>
      <w:r>
        <w:rPr>
          <w:rFonts w:hint="eastAsia" w:ascii="黑体" w:hAnsi="宋体" w:eastAsia="黑体" w:cs="Times New Roman"/>
          <w:szCs w:val="32"/>
        </w:rPr>
        <w:t>自治区粮食和物资储备局2024年</w:t>
      </w:r>
      <w:r>
        <w:rPr>
          <w:rFonts w:hint="eastAsia" w:ascii="黑体" w:hAnsi="Times New Roman" w:eastAsia="黑体" w:cs="Times New Roman"/>
          <w:szCs w:val="32"/>
        </w:rPr>
        <w:t>部门预算情况说明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一、部门收支总体情况说明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二、部门收入总体情况说明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三、部门支出总体情况说明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四、财政拨款收支总体情况说明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五、一般公共预算支出情况说明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六、一般公共预算基本支出情况说明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七、一般公共预算“三公”经费支出情况说明</w:t>
      </w:r>
    </w:p>
    <w:p>
      <w:pPr>
        <w:autoSpaceDE w:val="0"/>
        <w:autoSpaceDN w:val="0"/>
        <w:adjustRightInd w:val="0"/>
        <w:spacing w:line="590" w:lineRule="exact"/>
        <w:ind w:firstLine="640" w:firstLineChars="200"/>
        <w:rPr>
          <w:rFonts w:hint="eastAsia" w:ascii="仿宋_GB2312" w:hAnsi="黑体" w:cs="Times New Roman"/>
          <w:szCs w:val="32"/>
        </w:rPr>
      </w:pPr>
      <w:r>
        <w:rPr>
          <w:rFonts w:hint="eastAsia" w:ascii="仿宋_GB2312" w:hAnsi="黑体" w:cs="Times New Roman"/>
          <w:szCs w:val="32"/>
        </w:rPr>
        <w:t>八、政府性基金预算支出情况说明</w:t>
      </w:r>
    </w:p>
    <w:p>
      <w:pPr>
        <w:tabs>
          <w:tab w:val="center" w:pos="4475"/>
        </w:tabs>
        <w:spacing w:line="600" w:lineRule="exact"/>
        <w:ind w:firstLine="645"/>
        <w:rPr>
          <w:rFonts w:hint="eastAsia" w:ascii="仿宋_GB2312" w:hAnsi="Times New Roman" w:cs="Times New Roman"/>
          <w:szCs w:val="32"/>
        </w:rPr>
      </w:pPr>
      <w:r>
        <w:rPr>
          <w:rFonts w:hint="eastAsia" w:ascii="仿宋_GB2312" w:hAnsi="Times New Roman" w:cs="Times New Roman"/>
          <w:szCs w:val="32"/>
        </w:rPr>
        <w:t>九、国有资本经营预算支出情况说明</w:t>
      </w:r>
    </w:p>
    <w:p>
      <w:pPr>
        <w:autoSpaceDE w:val="0"/>
        <w:autoSpaceDN w:val="0"/>
        <w:adjustRightInd w:val="0"/>
        <w:spacing w:line="590" w:lineRule="exact"/>
        <w:ind w:firstLine="640" w:firstLineChars="200"/>
        <w:rPr>
          <w:rFonts w:hint="eastAsia" w:ascii="黑体" w:hAnsi="宋体" w:eastAsia="黑体" w:cs="Times New Roman"/>
          <w:bCs/>
          <w:szCs w:val="32"/>
        </w:rPr>
      </w:pPr>
      <w:r>
        <w:rPr>
          <w:rFonts w:hint="eastAsia" w:ascii="仿宋_GB2312" w:hAnsi="黑体" w:cs="Times New Roman"/>
          <w:szCs w:val="32"/>
        </w:rPr>
        <w:t>十、其他重要事项情况说明</w:t>
      </w:r>
    </w:p>
    <w:p>
      <w:pPr>
        <w:adjustRightInd w:val="0"/>
        <w:snapToGrid w:val="0"/>
        <w:spacing w:line="600" w:lineRule="exact"/>
        <w:ind w:right="-333" w:rightChars="-104" w:firstLine="640" w:firstLineChars="200"/>
        <w:rPr>
          <w:rFonts w:hint="eastAsia" w:ascii="黑体" w:hAnsi="宋体" w:eastAsia="黑体" w:cs="Times New Roman"/>
          <w:bCs/>
          <w:szCs w:val="32"/>
        </w:rPr>
      </w:pPr>
      <w:r>
        <w:rPr>
          <w:rFonts w:hint="eastAsia" w:ascii="黑体" w:hAnsi="Times New Roman" w:eastAsia="黑体" w:cs="Times New Roman"/>
          <w:szCs w:val="32"/>
        </w:rPr>
        <w:t>第三部分：名词解释</w:t>
      </w:r>
    </w:p>
    <w:p>
      <w:pPr>
        <w:adjustRightInd w:val="0"/>
        <w:snapToGrid w:val="0"/>
        <w:spacing w:line="600" w:lineRule="exact"/>
        <w:ind w:right="-333" w:rightChars="-104" w:firstLine="640" w:firstLineChars="200"/>
        <w:rPr>
          <w:rFonts w:hint="eastAsia" w:ascii="黑体" w:hAnsi="宋体" w:eastAsia="黑体" w:cs="Times New Roman"/>
          <w:bCs/>
          <w:szCs w:val="32"/>
        </w:rPr>
      </w:pPr>
      <w:r>
        <w:rPr>
          <w:rFonts w:hint="eastAsia" w:ascii="黑体" w:hAnsi="宋体" w:eastAsia="黑体" w:cs="Times New Roman"/>
          <w:bCs/>
          <w:szCs w:val="32"/>
        </w:rPr>
        <w:t>第四部分：</w:t>
      </w:r>
      <w:r>
        <w:rPr>
          <w:rFonts w:hint="eastAsia" w:ascii="黑体" w:hAnsi="宋体" w:eastAsia="黑体" w:cs="Times New Roman"/>
          <w:szCs w:val="32"/>
        </w:rPr>
        <w:t>自治区粮食和物资储备局2024年</w:t>
      </w:r>
      <w:r>
        <w:rPr>
          <w:rFonts w:hint="eastAsia" w:ascii="黑体" w:hAnsi="Times New Roman" w:eastAsia="黑体" w:cs="Times New Roman"/>
          <w:szCs w:val="32"/>
        </w:rPr>
        <w:t>部门预算报表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一、部门收支总体情况表（预算公开01表）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二、部门收入总体情况表（预算公开02表）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三、部门支出总体情况表（预算公开03表）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四、财政拨款收支总体情况表（预算公开04表）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五、一般公共预算支出情况表（预算公开05表）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六、一般公共预算基本支出情况表（预算公开06表）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七、一般公共预算“三公”经费、会议费和培训费支出情况表（预算公开07表）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八、政府性基金预算支出情况表（预算公开08表）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九、国有资本经营预算支出情况表（预算公开09表）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十、预算项目绩效目标公开表（预算公开10表）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十一、对下转移支付项目绩效目标公开表（预算公开11表）</w:t>
      </w: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firstLine="640" w:firstLineChars="200"/>
        <w:rPr>
          <w:rFonts w:hint="eastAsia" w:ascii="黑体" w:hAnsi="宋体" w:eastAsia="黑体" w:cs="Times New Roman"/>
          <w:bCs/>
          <w:szCs w:val="32"/>
        </w:rPr>
      </w:pPr>
    </w:p>
    <w:p>
      <w:pPr>
        <w:adjustRightInd w:val="0"/>
        <w:snapToGrid w:val="0"/>
        <w:spacing w:line="600" w:lineRule="exact"/>
        <w:ind w:right="-333" w:rightChars="-104"/>
        <w:jc w:val="center"/>
        <w:rPr>
          <w:rFonts w:hint="eastAsia" w:ascii="黑体" w:hAnsi="宋体" w:eastAsia="黑体" w:cs="Times New Roman"/>
          <w:bCs/>
          <w:szCs w:val="32"/>
        </w:rPr>
      </w:pPr>
      <w:r>
        <w:rPr>
          <w:rFonts w:hint="eastAsia" w:ascii="黑体" w:hAnsi="宋体" w:eastAsia="黑体" w:cs="Times New Roman"/>
          <w:bCs/>
          <w:szCs w:val="32"/>
        </w:rPr>
        <w:t>第一部分：</w:t>
      </w:r>
      <w:r>
        <w:rPr>
          <w:rFonts w:hint="eastAsia" w:ascii="黑体" w:hAnsi="宋体" w:eastAsia="黑体" w:cs="Times New Roman"/>
          <w:szCs w:val="32"/>
        </w:rPr>
        <w:t>自治区粮食和物资储备局</w:t>
      </w:r>
      <w:r>
        <w:rPr>
          <w:rFonts w:hint="eastAsia" w:ascii="黑体" w:hAnsi="宋体" w:eastAsia="黑体" w:cs="Times New Roman"/>
          <w:bCs/>
          <w:szCs w:val="32"/>
        </w:rPr>
        <w:t>概况</w:t>
      </w:r>
    </w:p>
    <w:p>
      <w:pPr>
        <w:adjustRightInd w:val="0"/>
        <w:snapToGrid w:val="0"/>
        <w:spacing w:line="600" w:lineRule="exact"/>
        <w:ind w:right="-333" w:rightChars="-104" w:firstLine="640" w:firstLineChars="200"/>
        <w:rPr>
          <w:rFonts w:hint="eastAsia" w:ascii="黑体" w:hAnsi="宋体" w:eastAsia="黑体" w:cs="Times New Roman"/>
          <w:szCs w:val="32"/>
        </w:rPr>
      </w:pPr>
      <w:r>
        <w:rPr>
          <w:rFonts w:hint="eastAsia" w:ascii="黑体" w:hAnsi="宋体" w:eastAsia="黑体" w:cs="Times New Roman"/>
          <w:bCs/>
          <w:szCs w:val="32"/>
        </w:rPr>
        <w:t>一</w:t>
      </w:r>
      <w:r>
        <w:rPr>
          <w:rFonts w:hint="eastAsia" w:ascii="黑体" w:hAnsi="宋体" w:eastAsia="黑体" w:cs="Times New Roman"/>
          <w:szCs w:val="32"/>
        </w:rPr>
        <w:t>、主要职责</w:t>
      </w:r>
    </w:p>
    <w:p>
      <w:pPr>
        <w:autoSpaceDE w:val="0"/>
        <w:autoSpaceDN w:val="0"/>
        <w:adjustRightInd w:val="0"/>
        <w:spacing w:line="590" w:lineRule="exact"/>
        <w:ind w:firstLine="640" w:firstLineChars="200"/>
        <w:rPr>
          <w:rFonts w:ascii="宋体" w:hAnsi="宋体" w:cs="宋体"/>
          <w:kern w:val="0"/>
          <w:szCs w:val="32"/>
        </w:rPr>
      </w:pPr>
      <w:r>
        <w:rPr>
          <w:rFonts w:hint="eastAsia" w:ascii="宋体" w:hAnsi="宋体" w:cs="宋体"/>
          <w:kern w:val="0"/>
          <w:szCs w:val="32"/>
        </w:rPr>
        <w:t>（一）负责起草全区粮食流通和物资储备管理的地方性法规、规章草案和规范性文件。研究提出全区粮食流通和物资储备体制改革方案并组织实施。</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二）研究提出全区国家战略物资储备规划、自治区储备品种目录的建议。根据自治区储备总体发展规划和品种目录，组织实施全区战略和应急储备物资的收储、轮换、日常管理和紧急调运的协调工作，落实有关动用计划和指令。</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三）管理自治区粮食、食糖和棉花储备，负责自治区储备粮棉行政管理。监测全区粮食和战略物资供求变化并预测预警，承担全区粮食流通宏观调控的具体工作，指导、协调全区粮食产业发展。承担粮食安全行政首长责任制考核相关工作。</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（四）拟订自治区粮食和物资储备仓储管理有关技术标准和规范并组织实施。负责全区粮食流通、加工行业安全生产工作的监督管理，承担全区物资储备承储单位安全生产的监管责任。</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（五）根据自治区储备总体发展规划，统一负责全区储备基础设施建设和管理。拟订全区储备基础设施、粮食流通设施建设规划并组织实施，管理有关储备基础设施和粮食流通设施自治区投资项目。</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（六）负责对管理的政府储备、企业储备以及储备政策落实情况进行监督检查。负责粮食流通监督检查，负责粮食收购、储存、运输环节粮食质量安全和原粮卫生的监督管理，组织实施全区粮食库存检查工作。</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七）负责粮食流通行业管理，保障军粮供应，制定行业发展规划、政策，会同有关部门制定全区粮食产业发展规划并组织实施。拟订粮食流通和物资储备有关标准、粮食质量标准，制定有关技术规范并监督执行。负责粮食和物资储备的行业教育培训和对外合作与交流。</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（八）完成自治区党委、政府交办的其他任务。</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（九）职能转变：</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1.充分发挥市场在资源配置中的决定性作用，进一步精简行政审批，减少环节、简化程序、提高效率，降低制度性交易成本。</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2.改革完善储备体系和运营方式，加强全区储备，完善市县储备，进一步发挥政府储备引导作用，鼓励企业商业储备，推动形成自治区储备与中央、市县储备、政府储备与企业储备互为补充的协同发展格局。</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3.加强市场分析预测和监测预警，充分运用大数据等科技手段，强化动态监控，提高储备防风险能力，增强储备在保障国家安全、稳定社会预期、引导市场方面的作用。</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4.加强监督管理，创新监管方式，全面推进“双随机、一公开”和“互联网+监管”，着力加强安全生产，根据自治区储备总体发展规划和品种目录及动用指令，监督储备主体做好收储、轮换，确保全区储备物资收得进、储得好、调得动、用得上。</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（十）有关职责分工：</w:t>
      </w:r>
    </w:p>
    <w:p>
      <w:pPr>
        <w:autoSpaceDE w:val="0"/>
        <w:autoSpaceDN w:val="0"/>
        <w:adjustRightInd w:val="0"/>
        <w:spacing w:line="590" w:lineRule="exact"/>
        <w:ind w:firstLine="640" w:firstLineChars="200"/>
        <w:rPr>
          <w:rFonts w:hint="eastAsia" w:ascii="宋体" w:hAnsi="宋体" w:cs="宋体"/>
          <w:kern w:val="0"/>
          <w:szCs w:val="32"/>
        </w:rPr>
      </w:pPr>
      <w:r>
        <w:rPr>
          <w:rFonts w:hint="eastAsia" w:ascii="宋体" w:hAnsi="宋体" w:cs="宋体"/>
          <w:kern w:val="0"/>
          <w:szCs w:val="32"/>
        </w:rPr>
        <w:t>1.与自治区发展和改革委员会（自治区能源局）的职责分工。自治区发展和改革委员会（自治区能源局）拟订自治区储备粮棉糖等战略物资储备的规划和总量计划；拟订煤炭、石油、天然气战略储备规划，提出自治区煤炭、石油、天然气战略储备收储、动用建议，报自治区人民政府审批。自治区粮食和物资储备局负责粮棉糖等战略物资的收储、轮换和日常管理，统筹煤炭、石油、天然气储备管理工作，按照自治区发展和改革委员会的动用指令，按程序组织实施。</w:t>
      </w:r>
    </w:p>
    <w:p>
      <w:pPr>
        <w:spacing w:line="580" w:lineRule="exact"/>
        <w:ind w:firstLine="640" w:firstLineChars="200"/>
        <w:rPr>
          <w:rFonts w:hint="eastAsia" w:ascii="宋体" w:hAnsi="宋体" w:cs="宋体"/>
          <w:kern w:val="0"/>
          <w:szCs w:val="32"/>
        </w:rPr>
      </w:pPr>
      <w:r>
        <w:rPr>
          <w:rFonts w:hint="eastAsia" w:ascii="宋体" w:hAnsi="宋体" w:cs="宋体"/>
          <w:kern w:val="0"/>
          <w:szCs w:val="32"/>
        </w:rPr>
        <w:t>2.与自治区应急管理厅的职责分工。应急管理厅负责提出自治区应急、救灾物资的储备需求和动用决策，组织编制自治区应急、救灾物资储备规划、品种目录和标准，会同自治区粮食和物资储备局等部门确定年度购置计划，根据需要下达动用指令。自治区粮食和物资储备局根据自治区应急、救灾物资储备规划、品种目录和标准、年度购置计划，负责自治区应急、救灾物资的收储、轮换和日常管理，根据自治区应急管理厅的动用指令，按程序组织调出。</w:t>
      </w:r>
    </w:p>
    <w:p>
      <w:pPr>
        <w:spacing w:line="600" w:lineRule="exact"/>
        <w:ind w:firstLine="640" w:firstLineChars="200"/>
        <w:rPr>
          <w:rFonts w:hint="eastAsia" w:ascii="黑体" w:hAnsi="宋体" w:eastAsia="黑体" w:cs="Times New Roman"/>
          <w:szCs w:val="32"/>
        </w:rPr>
      </w:pPr>
      <w:r>
        <w:rPr>
          <w:rFonts w:hint="eastAsia" w:ascii="黑体" w:hAnsi="宋体" w:eastAsia="黑体" w:cs="Times New Roman"/>
          <w:szCs w:val="32"/>
        </w:rPr>
        <w:t>二、机构设置情况</w:t>
      </w:r>
    </w:p>
    <w:p>
      <w:pPr>
        <w:spacing w:line="600" w:lineRule="exact"/>
        <w:ind w:firstLine="640" w:firstLineChars="200"/>
        <w:rPr>
          <w:rFonts w:hint="eastAsia" w:ascii="楷体" w:hAnsi="楷体" w:eastAsia="楷体" w:cs="Times New Roman"/>
          <w:szCs w:val="32"/>
        </w:rPr>
      </w:pPr>
      <w:r>
        <w:rPr>
          <w:rFonts w:hint="eastAsia" w:ascii="楷体" w:hAnsi="楷体" w:eastAsia="楷体" w:cs="Times New Roman"/>
          <w:szCs w:val="32"/>
        </w:rPr>
        <w:t>（一）自治区粮食和物资储备局内设机构情况</w:t>
      </w:r>
    </w:p>
    <w:p>
      <w:pPr>
        <w:spacing w:line="580" w:lineRule="exact"/>
        <w:ind w:firstLine="630" w:firstLineChars="197"/>
        <w:rPr>
          <w:rFonts w:hint="eastAsia" w:ascii="宋体" w:hAnsi="宋体" w:cs="Times New Roman"/>
          <w:szCs w:val="32"/>
        </w:rPr>
      </w:pPr>
      <w:r>
        <w:rPr>
          <w:rFonts w:hint="eastAsia" w:ascii="宋体" w:hAnsi="宋体" w:cs="宋体"/>
          <w:kern w:val="0"/>
          <w:szCs w:val="32"/>
        </w:rPr>
        <w:t>依据《自治区党委  自治区人民政府办公厅关于印发〈广西壮族自治区粮食和物资储备局职能配置、内设机构和人员编制规定〉的通知》（厅发〔</w:t>
      </w:r>
      <w:r>
        <w:rPr>
          <w:rFonts w:ascii="宋体" w:hAnsi="宋体" w:cs="宋体"/>
          <w:kern w:val="0"/>
          <w:szCs w:val="32"/>
        </w:rPr>
        <w:t>201</w:t>
      </w:r>
      <w:r>
        <w:rPr>
          <w:rFonts w:hint="eastAsia" w:ascii="宋体" w:hAnsi="宋体" w:cs="宋体"/>
          <w:kern w:val="0"/>
          <w:szCs w:val="32"/>
        </w:rPr>
        <w:t>9〕36号）精神，自治区粮食和物资储备局是自治区发展和改革委员会的主管全区粮食工作的部门管理机构。</w:t>
      </w:r>
      <w:r>
        <w:rPr>
          <w:rFonts w:hint="eastAsia" w:ascii="仿宋_GB2312" w:hAnsi="宋体" w:cs="Times New Roman"/>
          <w:szCs w:val="32"/>
        </w:rPr>
        <w:t>自治区粮食和物资储备局</w:t>
      </w:r>
      <w:r>
        <w:rPr>
          <w:rFonts w:hint="eastAsia" w:ascii="宋体" w:hAnsi="宋体" w:cs="宋体"/>
          <w:kern w:val="0"/>
          <w:szCs w:val="32"/>
        </w:rPr>
        <w:t>属财政全额拨款的行政单位，内设办公室（法规体改处）、粮食储备与产业发展处、物资与能源储备处、规划建设与安全仓储处、财务审计处、执法督查处、人事处、机关党委和离退休人员工作处。</w:t>
      </w:r>
    </w:p>
    <w:p>
      <w:pPr>
        <w:spacing w:line="600" w:lineRule="exact"/>
        <w:ind w:firstLine="640" w:firstLineChars="200"/>
        <w:rPr>
          <w:rFonts w:hint="eastAsia" w:ascii="楷体" w:hAnsi="楷体" w:eastAsia="楷体" w:cs="Times New Roman"/>
          <w:szCs w:val="32"/>
        </w:rPr>
      </w:pPr>
      <w:r>
        <w:rPr>
          <w:rFonts w:hint="eastAsia" w:ascii="楷体" w:hAnsi="楷体" w:eastAsia="楷体" w:cs="Times New Roman"/>
          <w:szCs w:val="32"/>
        </w:rPr>
        <w:t>（二）所属单位机构设置及单位职能</w:t>
      </w:r>
    </w:p>
    <w:p>
      <w:pPr>
        <w:autoSpaceDE w:val="0"/>
        <w:autoSpaceDN w:val="0"/>
        <w:adjustRightInd w:val="0"/>
        <w:spacing w:line="600" w:lineRule="exact"/>
        <w:ind w:firstLine="640" w:firstLineChars="200"/>
        <w:rPr>
          <w:rFonts w:hint="eastAsia" w:ascii="宋体" w:hAnsi="宋体" w:cs="宋体"/>
          <w:kern w:val="0"/>
          <w:szCs w:val="32"/>
        </w:rPr>
      </w:pPr>
      <w:r>
        <w:rPr>
          <w:rFonts w:hint="eastAsia" w:ascii="宋体" w:hAnsi="宋体" w:cs="宋体"/>
          <w:kern w:val="0"/>
          <w:szCs w:val="32"/>
        </w:rPr>
        <w:t>我局直属事业单位共6个，具体情况如下。</w:t>
      </w:r>
    </w:p>
    <w:p>
      <w:pPr>
        <w:autoSpaceDE w:val="0"/>
        <w:autoSpaceDN w:val="0"/>
        <w:adjustRightInd w:val="0"/>
        <w:spacing w:line="600" w:lineRule="exact"/>
        <w:ind w:firstLine="643" w:firstLineChars="200"/>
        <w:rPr>
          <w:rFonts w:hint="eastAsia" w:ascii="宋体" w:hAnsi="宋体" w:cs="Times New Roman"/>
          <w:color w:val="000000"/>
          <w:szCs w:val="32"/>
        </w:rPr>
      </w:pPr>
      <w:r>
        <w:rPr>
          <w:rFonts w:hint="eastAsia" w:ascii="宋体" w:hAnsi="宋体" w:cs="宋体"/>
          <w:b/>
          <w:color w:val="000000"/>
          <w:kern w:val="0"/>
          <w:szCs w:val="32"/>
        </w:rPr>
        <w:t>1.自治区粮食和物资储备局机关服务中心</w:t>
      </w:r>
    </w:p>
    <w:p>
      <w:pPr>
        <w:autoSpaceDE w:val="0"/>
        <w:autoSpaceDN w:val="0"/>
        <w:adjustRightInd w:val="0"/>
        <w:spacing w:line="600" w:lineRule="exact"/>
        <w:ind w:firstLine="643" w:firstLineChars="200"/>
        <w:rPr>
          <w:rFonts w:hint="eastAsia" w:ascii="宋体" w:hAnsi="宋体" w:cs="Times New Roman"/>
          <w:color w:val="000000"/>
          <w:szCs w:val="32"/>
        </w:rPr>
      </w:pPr>
      <w:r>
        <w:rPr>
          <w:rFonts w:hint="eastAsia" w:ascii="宋体" w:hAnsi="宋体" w:cs="Times New Roman"/>
          <w:b/>
          <w:color w:val="000000"/>
          <w:szCs w:val="32"/>
        </w:rPr>
        <w:t>机构设置：</w:t>
      </w:r>
      <w:r>
        <w:rPr>
          <w:rFonts w:hint="eastAsia" w:ascii="宋体" w:hAnsi="宋体" w:cs="Times New Roman"/>
          <w:color w:val="000000"/>
          <w:szCs w:val="32"/>
        </w:rPr>
        <w:t>属于公益一类事业单位。设有财务、保卫、小车班、信息、文印、收发、物业等部门。</w:t>
      </w:r>
    </w:p>
    <w:p>
      <w:pPr>
        <w:autoSpaceDE w:val="0"/>
        <w:autoSpaceDN w:val="0"/>
        <w:adjustRightInd w:val="0"/>
        <w:spacing w:line="600" w:lineRule="exact"/>
        <w:ind w:firstLine="643" w:firstLineChars="200"/>
        <w:rPr>
          <w:rFonts w:ascii="宋体" w:hAnsi="宋体" w:cs="Times New Roman"/>
          <w:color w:val="000000"/>
          <w:szCs w:val="32"/>
        </w:rPr>
      </w:pPr>
      <w:r>
        <w:rPr>
          <w:rFonts w:hint="eastAsia" w:ascii="宋体" w:hAnsi="宋体" w:cs="宋体"/>
          <w:b/>
          <w:color w:val="000000"/>
          <w:kern w:val="0"/>
          <w:szCs w:val="32"/>
        </w:rPr>
        <w:t>基本职能：</w:t>
      </w:r>
      <w:r>
        <w:rPr>
          <w:rFonts w:hint="eastAsia" w:ascii="宋体" w:hAnsi="宋体" w:cs="Times New Roman"/>
          <w:color w:val="000000"/>
          <w:szCs w:val="32"/>
        </w:rPr>
        <w:t>为局机关办公和职工生活提供后勤服务，管理自治区粮食和物资储备局的国有资产，负责粮食和物资储备局及大院内直属单位常住人口的户籍登记、管理、身份证换发，两栋办公大楼的安全保卫、公共卫生、计划生育，负责公务用车管理和使用；资料的文印、收发、会议和接待、供水供电系统的维护维修等日常工作。</w:t>
      </w:r>
    </w:p>
    <w:p>
      <w:pPr>
        <w:autoSpaceDE w:val="0"/>
        <w:autoSpaceDN w:val="0"/>
        <w:adjustRightInd w:val="0"/>
        <w:spacing w:line="600" w:lineRule="exact"/>
        <w:ind w:firstLine="643" w:firstLineChars="200"/>
        <w:rPr>
          <w:rFonts w:hint="eastAsia" w:ascii="宋体" w:hAnsi="宋体" w:cs="宋体"/>
          <w:b/>
          <w:color w:val="000000"/>
          <w:kern w:val="0"/>
          <w:szCs w:val="32"/>
        </w:rPr>
      </w:pPr>
      <w:r>
        <w:rPr>
          <w:rFonts w:hint="eastAsia" w:ascii="宋体" w:hAnsi="宋体" w:cs="宋体"/>
          <w:b/>
          <w:color w:val="000000"/>
          <w:kern w:val="0"/>
          <w:szCs w:val="32"/>
        </w:rPr>
        <w:t>2.自治区粮油质量检验中心</w:t>
      </w:r>
    </w:p>
    <w:p>
      <w:pPr>
        <w:autoSpaceDE w:val="0"/>
        <w:autoSpaceDN w:val="0"/>
        <w:adjustRightInd w:val="0"/>
        <w:spacing w:line="600" w:lineRule="exact"/>
        <w:ind w:firstLine="643" w:firstLineChars="200"/>
        <w:rPr>
          <w:rFonts w:ascii="宋体" w:hAnsi="宋体" w:cs="Times New Roman"/>
          <w:color w:val="000000"/>
          <w:szCs w:val="32"/>
        </w:rPr>
      </w:pPr>
      <w:r>
        <w:rPr>
          <w:rFonts w:hint="eastAsia" w:ascii="宋体" w:hAnsi="宋体" w:cs="Times New Roman"/>
          <w:b/>
          <w:color w:val="000000"/>
          <w:szCs w:val="32"/>
        </w:rPr>
        <w:t>机构设置：</w:t>
      </w:r>
      <w:r>
        <w:rPr>
          <w:rFonts w:hint="eastAsia" w:ascii="宋体" w:hAnsi="宋体" w:cs="Times New Roman"/>
          <w:color w:val="000000"/>
          <w:szCs w:val="32"/>
        </w:rPr>
        <w:t>属于公益二类事业单位。内部机构设置为三个部门：综合部、业务部、检验部。</w:t>
      </w:r>
    </w:p>
    <w:p>
      <w:pPr>
        <w:autoSpaceDE w:val="0"/>
        <w:autoSpaceDN w:val="0"/>
        <w:adjustRightInd w:val="0"/>
        <w:spacing w:line="600" w:lineRule="exact"/>
        <w:ind w:firstLine="643" w:firstLineChars="200"/>
        <w:rPr>
          <w:rFonts w:ascii="宋体" w:hAnsi="宋体" w:cs="宋体"/>
          <w:b/>
          <w:color w:val="000000"/>
          <w:kern w:val="0"/>
          <w:szCs w:val="32"/>
        </w:rPr>
      </w:pPr>
      <w:r>
        <w:rPr>
          <w:rFonts w:hint="eastAsia" w:ascii="宋体" w:hAnsi="宋体" w:cs="宋体"/>
          <w:b/>
          <w:color w:val="000000"/>
          <w:kern w:val="0"/>
          <w:szCs w:val="32"/>
        </w:rPr>
        <w:t>基本职能：</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①具备检验各种粮食的质量指标、储存品质指标、营养指标、污染物、真菌毒素、食品添加剂、违法添加物、微生物、转基因等8大类323个参数的检测能力。</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②</w:t>
      </w:r>
      <w:r>
        <w:rPr>
          <w:rFonts w:hint="eastAsia" w:ascii="仿宋_GB2312" w:eastAsia="仿宋_GB2312"/>
          <w:color w:val="000000"/>
          <w:sz w:val="32"/>
          <w:szCs w:val="32"/>
        </w:rPr>
        <w:t>参与制订粮食质量安全管理制度和监测计划。</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③</w:t>
      </w:r>
      <w:r>
        <w:rPr>
          <w:rFonts w:hint="eastAsia" w:ascii="仿宋_GB2312" w:eastAsia="仿宋_GB2312"/>
          <w:color w:val="000000"/>
          <w:sz w:val="32"/>
          <w:szCs w:val="32"/>
        </w:rPr>
        <w:t>承担粮食质量安全监测预警体系建设和快速反应机制研究。</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④</w:t>
      </w:r>
      <w:r>
        <w:rPr>
          <w:rFonts w:hint="eastAsia" w:ascii="仿宋_GB2312" w:eastAsia="仿宋_GB2312"/>
          <w:color w:val="000000"/>
          <w:sz w:val="32"/>
          <w:szCs w:val="32"/>
        </w:rPr>
        <w:t>承担粮食质量调查、品质测报和风险监测检验把关工作，为发展“三农”、“中国好粮油”和农户科学储粮提供技术服务。提出粮食质量安全监管的重点区域、重点环节、重点项目、重点监管对象以及当地粮食出库必检项目与强制检验的政策建议。</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⑤</w:t>
      </w:r>
      <w:r>
        <w:rPr>
          <w:rFonts w:hint="eastAsia" w:ascii="仿宋_GB2312" w:eastAsia="仿宋_GB2312"/>
          <w:color w:val="000000"/>
          <w:sz w:val="32"/>
          <w:szCs w:val="32"/>
        </w:rPr>
        <w:t>承担粮食质量安全重大事故与纠纷的调查、鉴定和评价以及仲裁检验工作，接受有关监管部门的执法监督抽查委托或仲裁检验。</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⑥</w:t>
      </w:r>
      <w:r>
        <w:rPr>
          <w:rFonts w:hint="eastAsia" w:ascii="仿宋_GB2312" w:eastAsia="仿宋_GB2312"/>
          <w:color w:val="000000"/>
          <w:sz w:val="32"/>
          <w:szCs w:val="32"/>
        </w:rPr>
        <w:t>承担或参与国家、国际、行业、地方和企业粮油标准及技术规范的基础性研究和制修订工作，承担粮油标准研究验证检验、标准物质制备和定值工作。</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⑦</w:t>
      </w:r>
      <w:r>
        <w:rPr>
          <w:rFonts w:hint="eastAsia" w:ascii="仿宋_GB2312" w:eastAsia="仿宋_GB2312"/>
          <w:color w:val="000000"/>
          <w:sz w:val="32"/>
          <w:szCs w:val="32"/>
        </w:rPr>
        <w:t>承担对粮食质量安全检监测机构的技术培训、技术服务和技术指导工作，对外开展技术培训、技术咨询、技术研发等各项服务。</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⑧</w:t>
      </w:r>
      <w:r>
        <w:rPr>
          <w:rFonts w:hint="eastAsia" w:ascii="仿宋_GB2312" w:eastAsia="仿宋_GB2312"/>
          <w:color w:val="000000"/>
          <w:sz w:val="32"/>
          <w:szCs w:val="32"/>
        </w:rPr>
        <w:t>承担开展粮食质量评价、科技成果转化和推广普及，研究、分析、处理粮食质量安全信息。</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⑨</w:t>
      </w:r>
      <w:r>
        <w:rPr>
          <w:rFonts w:hint="eastAsia" w:ascii="仿宋_GB2312" w:eastAsia="仿宋_GB2312"/>
          <w:color w:val="000000"/>
          <w:sz w:val="32"/>
          <w:szCs w:val="32"/>
        </w:rPr>
        <w:t>负责对内市、县级粮食检验监测机构的技术指导与协调协调。</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⑩</w:t>
      </w:r>
      <w:r>
        <w:rPr>
          <w:rFonts w:hint="eastAsia" w:ascii="仿宋_GB2312" w:eastAsia="仿宋_GB2312"/>
          <w:color w:val="000000"/>
          <w:sz w:val="32"/>
          <w:szCs w:val="32"/>
        </w:rPr>
        <w:t>接受社会委托检验。</w:t>
      </w:r>
    </w:p>
    <w:p>
      <w:pPr>
        <w:pStyle w:val="5"/>
        <w:widowControl w:val="0"/>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ascii="Cambria Math" w:hAnsi="Cambria Math" w:eastAsia="仿宋_GB2312" w:cs="Cambria Math"/>
          <w:color w:val="000000"/>
          <w:sz w:val="32"/>
          <w:szCs w:val="32"/>
        </w:rPr>
        <w:t>⑪</w:t>
      </w:r>
      <w:r>
        <w:rPr>
          <w:rFonts w:hint="eastAsia" w:ascii="仿宋_GB2312" w:eastAsia="仿宋_GB2312"/>
          <w:color w:val="000000"/>
          <w:sz w:val="32"/>
          <w:szCs w:val="32"/>
        </w:rPr>
        <w:t>负责广西粮食行业粮油质量检验员职业技能培训鉴定工作。</w:t>
      </w:r>
    </w:p>
    <w:p>
      <w:pPr>
        <w:spacing w:line="600" w:lineRule="exact"/>
        <w:ind w:firstLine="640" w:firstLineChars="200"/>
        <w:rPr>
          <w:rFonts w:hint="eastAsia" w:ascii="仿宋_GB2312" w:hAnsi="宋体" w:cs="Times New Roman"/>
          <w:color w:val="000000"/>
          <w:szCs w:val="32"/>
        </w:rPr>
      </w:pPr>
      <w:r>
        <w:rPr>
          <w:rFonts w:ascii="Cambria Math" w:hAnsi="Cambria Math" w:cs="Cambria Math"/>
          <w:color w:val="000000"/>
          <w:kern w:val="0"/>
          <w:szCs w:val="32"/>
        </w:rPr>
        <w:t>⑫</w:t>
      </w:r>
      <w:r>
        <w:rPr>
          <w:rFonts w:hint="eastAsia" w:ascii="仿宋_GB2312" w:hAnsi="宋体" w:cs="Times New Roman"/>
          <w:color w:val="000000"/>
          <w:szCs w:val="32"/>
        </w:rPr>
        <w:t>承担国家粮食和物资储备局、自治区粮食和物资储备局新职能肉、粮、棉等监督抽检检验把关工作。</w:t>
      </w:r>
    </w:p>
    <w:p>
      <w:pPr>
        <w:autoSpaceDE w:val="0"/>
        <w:autoSpaceDN w:val="0"/>
        <w:adjustRightInd w:val="0"/>
        <w:spacing w:line="600" w:lineRule="exact"/>
        <w:ind w:firstLine="643" w:firstLineChars="200"/>
        <w:rPr>
          <w:rFonts w:ascii="宋体" w:hAnsi="宋体" w:cs="宋体"/>
          <w:b/>
          <w:color w:val="000000"/>
          <w:kern w:val="0"/>
          <w:szCs w:val="32"/>
        </w:rPr>
      </w:pPr>
      <w:r>
        <w:rPr>
          <w:rFonts w:hint="eastAsia" w:ascii="宋体" w:hAnsi="宋体" w:cs="宋体"/>
          <w:b/>
          <w:color w:val="000000"/>
          <w:kern w:val="0"/>
          <w:szCs w:val="32"/>
        </w:rPr>
        <w:t>3.自治区军粮供应中心</w:t>
      </w:r>
    </w:p>
    <w:p>
      <w:pPr>
        <w:spacing w:line="580" w:lineRule="exact"/>
        <w:ind w:firstLine="630" w:firstLineChars="196"/>
        <w:rPr>
          <w:rFonts w:hint="eastAsia" w:ascii="宋体" w:hAnsi="宋体" w:cs="Times New Roman"/>
          <w:color w:val="000000"/>
          <w:szCs w:val="32"/>
        </w:rPr>
      </w:pPr>
      <w:r>
        <w:rPr>
          <w:rFonts w:hint="eastAsia" w:ascii="宋体" w:hAnsi="宋体" w:cs="Times New Roman"/>
          <w:b/>
          <w:color w:val="000000"/>
          <w:szCs w:val="32"/>
        </w:rPr>
        <w:t>机构设置：</w:t>
      </w:r>
      <w:r>
        <w:rPr>
          <w:rFonts w:hint="eastAsia" w:ascii="宋体" w:hAnsi="宋体" w:cs="Times New Roman"/>
          <w:color w:val="000000"/>
          <w:szCs w:val="32"/>
        </w:rPr>
        <w:t>属于</w:t>
      </w:r>
      <w:r>
        <w:rPr>
          <w:rFonts w:hint="eastAsia" w:ascii="宋体" w:hAnsi="宋体" w:cs="宋体"/>
          <w:kern w:val="0"/>
          <w:szCs w:val="32"/>
        </w:rPr>
        <w:t>公益一类参公管理事业单位，</w:t>
      </w:r>
      <w:r>
        <w:rPr>
          <w:rFonts w:hint="eastAsia" w:ascii="宋体" w:hAnsi="宋体" w:cs="宋体"/>
          <w:color w:val="000000"/>
          <w:kern w:val="0"/>
          <w:szCs w:val="32"/>
        </w:rPr>
        <w:t>设置办公室、财务、文印等部门。</w:t>
      </w:r>
    </w:p>
    <w:p>
      <w:pPr>
        <w:spacing w:line="580" w:lineRule="exact"/>
        <w:ind w:firstLine="646"/>
        <w:rPr>
          <w:rFonts w:ascii="宋体" w:hAnsi="宋体" w:cs="宋体"/>
          <w:color w:val="000000"/>
          <w:kern w:val="0"/>
          <w:szCs w:val="32"/>
        </w:rPr>
      </w:pPr>
      <w:r>
        <w:rPr>
          <w:rFonts w:hint="eastAsia" w:ascii="宋体" w:hAnsi="宋体" w:cs="宋体"/>
          <w:b/>
          <w:color w:val="000000"/>
          <w:kern w:val="0"/>
          <w:szCs w:val="32"/>
        </w:rPr>
        <w:t>基本职能：</w:t>
      </w:r>
      <w:r>
        <w:rPr>
          <w:rFonts w:hint="eastAsia" w:ascii="宋体" w:hAnsi="宋体" w:cs="宋体"/>
          <w:color w:val="000000"/>
          <w:kern w:val="0"/>
          <w:szCs w:val="32"/>
        </w:rPr>
        <w:t>主要是建立完善全区军粮供应规章制度,协调安排统一筹措全区军供粮源,管理、监督、检查全区军粮供应部门的军供工作及军粮财务情况；认定、调整、建设、管理和统筹规划全区的军供站资格；管理军供网点维修改造项目的上报、把关和验收；分析军粮计划的执行；核算全区军粮销售数量和军粮差价补贴款的拨付、结算。按照国家粮食和物资储备局军粮供应办公室的要求，严格执行国家军粮办的有关文件规定，在粮食购销市场化的形势下抓大带小，以地、市为中心辐射全区，全面带动各军粮供应部门做好军供工作，促进我区军粮供应事业的发展。</w:t>
      </w:r>
    </w:p>
    <w:p>
      <w:pPr>
        <w:autoSpaceDE w:val="0"/>
        <w:autoSpaceDN w:val="0"/>
        <w:adjustRightInd w:val="0"/>
        <w:spacing w:line="600" w:lineRule="exact"/>
        <w:ind w:firstLine="643" w:firstLineChars="200"/>
        <w:rPr>
          <w:rFonts w:ascii="宋体" w:hAnsi="宋体" w:cs="宋体"/>
          <w:b/>
          <w:color w:val="000000"/>
          <w:kern w:val="0"/>
          <w:szCs w:val="32"/>
        </w:rPr>
      </w:pPr>
      <w:r>
        <w:rPr>
          <w:rFonts w:ascii="宋体" w:hAnsi="宋体" w:cs="宋体"/>
          <w:b/>
          <w:color w:val="000000"/>
          <w:kern w:val="0"/>
          <w:szCs w:val="32"/>
        </w:rPr>
        <w:t>5</w:t>
      </w:r>
      <w:r>
        <w:rPr>
          <w:rFonts w:hint="eastAsia" w:ascii="宋体" w:hAnsi="宋体" w:cs="宋体"/>
          <w:b/>
          <w:color w:val="000000"/>
          <w:kern w:val="0"/>
          <w:szCs w:val="32"/>
        </w:rPr>
        <w:t>.广西工商职业技术学院</w:t>
      </w:r>
    </w:p>
    <w:p>
      <w:pPr>
        <w:spacing w:line="580" w:lineRule="exact"/>
        <w:ind w:firstLine="630" w:firstLineChars="196"/>
        <w:rPr>
          <w:rFonts w:hint="eastAsia" w:ascii="宋体" w:hAnsi="宋体" w:cs="宋体"/>
          <w:b/>
          <w:color w:val="000000"/>
          <w:kern w:val="0"/>
          <w:szCs w:val="32"/>
        </w:rPr>
      </w:pPr>
      <w:r>
        <w:rPr>
          <w:rFonts w:hint="eastAsia" w:ascii="宋体" w:hAnsi="宋体" w:cs="Times New Roman"/>
          <w:b/>
          <w:color w:val="000000"/>
          <w:szCs w:val="32"/>
        </w:rPr>
        <w:t>机构设置：</w:t>
      </w:r>
      <w:r>
        <w:rPr>
          <w:rFonts w:hint="eastAsia" w:ascii="宋体" w:hAnsi="宋体" w:cs="Times New Roman"/>
          <w:color w:val="000000"/>
          <w:szCs w:val="32"/>
        </w:rPr>
        <w:t>属于</w:t>
      </w:r>
      <w:r>
        <w:rPr>
          <w:rFonts w:hint="eastAsia" w:ascii="宋体" w:hAnsi="宋体" w:cs="宋体"/>
          <w:kern w:val="0"/>
          <w:szCs w:val="32"/>
        </w:rPr>
        <w:t>公益二类事业单位,</w:t>
      </w:r>
      <w:r>
        <w:rPr>
          <w:rFonts w:hint="eastAsia" w:ascii="宋体" w:hAnsi="宋体" w:cs="宋体"/>
          <w:color w:val="000000"/>
          <w:kern w:val="0"/>
          <w:szCs w:val="32"/>
        </w:rPr>
        <w:t xml:space="preserve"> </w:t>
      </w:r>
      <w:r>
        <w:rPr>
          <w:rFonts w:ascii="宋体" w:hAnsi="宋体" w:cs="宋体"/>
          <w:color w:val="000000"/>
          <w:kern w:val="0"/>
          <w:szCs w:val="32"/>
        </w:rPr>
        <w:t>学院设有党委办公室（学院办公室）、</w:t>
      </w:r>
      <w:r>
        <w:rPr>
          <w:rFonts w:hint="eastAsia" w:ascii="宋体" w:hAnsi="宋体" w:cs="宋体"/>
          <w:color w:val="000000"/>
          <w:kern w:val="0"/>
          <w:szCs w:val="32"/>
        </w:rPr>
        <w:t>党委统战部、审计室、党委组织部、党委宣传部、教研处、党委学生工作部、后勤管理处、监察室、纪委办公室、科研规划处、招生就业处、计划财务处、国有资产管理处、团委、工会、会计学院、管理学院、经贸学院、财金学院、信息与设计学院、粮油康旅学院、马克思主义学院、通识教育学院、图书馆、信息技术中心、教学督导室。</w:t>
      </w:r>
    </w:p>
    <w:p>
      <w:pPr>
        <w:autoSpaceDE w:val="0"/>
        <w:autoSpaceDN w:val="0"/>
        <w:adjustRightInd w:val="0"/>
        <w:spacing w:line="600" w:lineRule="exact"/>
        <w:ind w:firstLine="643" w:firstLineChars="200"/>
        <w:rPr>
          <w:rFonts w:ascii="宋体" w:hAnsi="宋体" w:cs="宋体"/>
          <w:bCs/>
          <w:color w:val="000000"/>
          <w:kern w:val="0"/>
          <w:szCs w:val="32"/>
        </w:rPr>
      </w:pPr>
      <w:r>
        <w:rPr>
          <w:rFonts w:hint="eastAsia" w:ascii="宋体" w:hAnsi="宋体" w:cs="宋体"/>
          <w:b/>
          <w:color w:val="000000"/>
          <w:kern w:val="0"/>
          <w:szCs w:val="32"/>
        </w:rPr>
        <w:t>基本职能：</w:t>
      </w:r>
      <w:r>
        <w:rPr>
          <w:rFonts w:hint="eastAsia" w:ascii="宋体" w:hAnsi="宋体" w:cs="宋体"/>
          <w:bCs/>
          <w:color w:val="000000"/>
          <w:kern w:val="0"/>
          <w:szCs w:val="32"/>
        </w:rPr>
        <w:t>按照国家和自治区关于加快发展现代职业教育、实施职业教育改革的总体目标要求，基于广西职业教育“提质扩量”的现实需要，围绕“扩量”“提质”“惠民生”“强保障”，以争创广西乃至国家高水平高职学校、高水平专业群（“双高”）建设为重要载体，进一步扩大办学规模，提升人才培养质量，大力改善民生，强化内部管理，力争“十四五”期间整体办学实力与水平进入全国粮食行业和广西同类高职院校前列，形成以满足粮食行业人才和技术需求为根本，服务粮食收购、仓储、物流、加工、贸易于一体的粮食全产业链和广西区域经济社会发展的“粮•商”人才培养体系。</w:t>
      </w:r>
    </w:p>
    <w:p>
      <w:pPr>
        <w:autoSpaceDE w:val="0"/>
        <w:autoSpaceDN w:val="0"/>
        <w:adjustRightInd w:val="0"/>
        <w:spacing w:line="600" w:lineRule="exact"/>
        <w:ind w:firstLine="643" w:firstLineChars="200"/>
        <w:rPr>
          <w:rFonts w:ascii="宋体" w:hAnsi="宋体" w:cs="宋体"/>
          <w:b/>
          <w:color w:val="000000"/>
          <w:kern w:val="0"/>
          <w:szCs w:val="32"/>
        </w:rPr>
      </w:pPr>
      <w:r>
        <w:rPr>
          <w:rFonts w:ascii="宋体" w:hAnsi="宋体" w:cs="宋体"/>
          <w:b/>
          <w:color w:val="000000"/>
          <w:kern w:val="0"/>
          <w:szCs w:val="32"/>
        </w:rPr>
        <w:t>6</w:t>
      </w:r>
      <w:r>
        <w:rPr>
          <w:rFonts w:hint="eastAsia" w:ascii="宋体" w:hAnsi="宋体" w:cs="宋体"/>
          <w:b/>
          <w:color w:val="000000"/>
          <w:kern w:val="0"/>
          <w:szCs w:val="32"/>
        </w:rPr>
        <w:t>.广西工商技师学院</w:t>
      </w:r>
    </w:p>
    <w:p>
      <w:pPr>
        <w:autoSpaceDE w:val="0"/>
        <w:autoSpaceDN w:val="0"/>
        <w:adjustRightInd w:val="0"/>
        <w:spacing w:line="600" w:lineRule="exact"/>
        <w:ind w:firstLine="643" w:firstLineChars="200"/>
        <w:rPr>
          <w:rFonts w:ascii="宋体" w:hAnsi="宋体" w:cs="宋体"/>
          <w:color w:val="000000"/>
          <w:kern w:val="0"/>
          <w:szCs w:val="32"/>
        </w:rPr>
      </w:pPr>
      <w:r>
        <w:rPr>
          <w:rFonts w:hint="eastAsia" w:ascii="宋体" w:hAnsi="宋体" w:cs="宋体"/>
          <w:b/>
          <w:color w:val="000000"/>
          <w:kern w:val="0"/>
          <w:szCs w:val="32"/>
        </w:rPr>
        <w:t>机构设置：</w:t>
      </w:r>
      <w:r>
        <w:rPr>
          <w:rFonts w:hint="eastAsia" w:ascii="宋体" w:hAnsi="宋体" w:cs="Times New Roman"/>
          <w:color w:val="000000"/>
          <w:szCs w:val="32"/>
        </w:rPr>
        <w:t>属于</w:t>
      </w:r>
      <w:r>
        <w:rPr>
          <w:rFonts w:hint="eastAsia" w:ascii="宋体" w:hAnsi="宋体" w:cs="宋体"/>
          <w:kern w:val="0"/>
          <w:szCs w:val="32"/>
        </w:rPr>
        <w:t>公益二类事业单位,</w:t>
      </w:r>
      <w:r>
        <w:rPr>
          <w:rFonts w:hint="eastAsia" w:ascii="宋体" w:hAnsi="宋体" w:cs="宋体"/>
          <w:color w:val="000000"/>
          <w:kern w:val="0"/>
          <w:szCs w:val="32"/>
        </w:rPr>
        <w:t>内部机构设置为：学院</w:t>
      </w:r>
      <w:r>
        <w:rPr>
          <w:rFonts w:hint="eastAsia" w:ascii="宋体" w:hAnsi="宋体" w:cs="Times New Roman"/>
          <w:color w:val="000000"/>
          <w:szCs w:val="32"/>
        </w:rPr>
        <w:t>办公室、财务科、学生管理科（保卫科）、招生办公室、就业培训科、组织人事科、总务科、教务科、党委办公室 、校团委、职业技能鉴定所等科室。</w:t>
      </w:r>
    </w:p>
    <w:p>
      <w:pPr>
        <w:spacing w:line="600" w:lineRule="exact"/>
        <w:ind w:firstLine="643" w:firstLineChars="200"/>
        <w:rPr>
          <w:rFonts w:ascii="宋体" w:hAnsi="宋体" w:cs="宋体"/>
          <w:color w:val="000000"/>
          <w:kern w:val="0"/>
          <w:szCs w:val="32"/>
        </w:rPr>
      </w:pPr>
      <w:r>
        <w:rPr>
          <w:rFonts w:hint="eastAsia" w:ascii="宋体" w:hAnsi="宋体" w:cs="Times New Roman"/>
          <w:b/>
          <w:color w:val="000000"/>
          <w:szCs w:val="32"/>
        </w:rPr>
        <w:t>基本职能：</w:t>
      </w:r>
      <w:r>
        <w:rPr>
          <w:rFonts w:hint="eastAsia" w:ascii="宋体" w:hAnsi="宋体" w:cs="宋体"/>
          <w:color w:val="000000"/>
          <w:kern w:val="0"/>
          <w:szCs w:val="32"/>
        </w:rPr>
        <w:t>正规技工教育、短期职工技术培训、培养具有良好职业道德的中等专业技能人才。</w:t>
      </w:r>
    </w:p>
    <w:p>
      <w:pPr>
        <w:autoSpaceDE w:val="0"/>
        <w:autoSpaceDN w:val="0"/>
        <w:adjustRightInd w:val="0"/>
        <w:spacing w:line="600" w:lineRule="exact"/>
        <w:ind w:firstLine="643" w:firstLineChars="200"/>
        <w:rPr>
          <w:rFonts w:ascii="宋体" w:hAnsi="宋体" w:cs="宋体"/>
          <w:b/>
          <w:color w:val="000000"/>
          <w:kern w:val="0"/>
          <w:szCs w:val="32"/>
        </w:rPr>
      </w:pPr>
      <w:r>
        <w:rPr>
          <w:rFonts w:hint="eastAsia" w:ascii="宋体" w:hAnsi="宋体" w:cs="宋体"/>
          <w:b/>
          <w:color w:val="000000"/>
          <w:kern w:val="0"/>
          <w:szCs w:val="32"/>
        </w:rPr>
        <w:t>7.自治区救灾物资储备中心</w:t>
      </w:r>
    </w:p>
    <w:p>
      <w:pPr>
        <w:spacing w:line="580" w:lineRule="exact"/>
        <w:ind w:firstLine="630" w:firstLineChars="196"/>
        <w:rPr>
          <w:rFonts w:hint="eastAsia" w:ascii="宋体" w:hAnsi="宋体" w:cs="宋体"/>
          <w:kern w:val="0"/>
          <w:szCs w:val="32"/>
        </w:rPr>
      </w:pPr>
      <w:r>
        <w:rPr>
          <w:rFonts w:hint="eastAsia" w:ascii="宋体" w:hAnsi="宋体" w:cs="宋体"/>
          <w:b/>
          <w:color w:val="000000"/>
          <w:kern w:val="0"/>
          <w:szCs w:val="32"/>
        </w:rPr>
        <w:t>机构设置：</w:t>
      </w:r>
      <w:r>
        <w:rPr>
          <w:rFonts w:hint="eastAsia" w:ascii="宋体" w:hAnsi="宋体" w:cs="宋体"/>
          <w:color w:val="000000"/>
          <w:kern w:val="0"/>
          <w:szCs w:val="32"/>
        </w:rPr>
        <w:t>属于公益一类事业单位，设有办公室（党办）、财务科、物资管理科、仓储安全科等部门。</w:t>
      </w:r>
    </w:p>
    <w:p>
      <w:pPr>
        <w:spacing w:line="600" w:lineRule="exact"/>
        <w:ind w:firstLine="643" w:firstLineChars="200"/>
        <w:rPr>
          <w:rFonts w:hint="eastAsia" w:ascii="宋体" w:hAnsi="宋体" w:cs="宋体"/>
          <w:color w:val="000000"/>
          <w:kern w:val="0"/>
          <w:szCs w:val="32"/>
        </w:rPr>
      </w:pPr>
      <w:r>
        <w:rPr>
          <w:rFonts w:hint="eastAsia" w:ascii="宋体" w:hAnsi="宋体" w:cs="Times New Roman"/>
          <w:b/>
          <w:color w:val="000000"/>
          <w:szCs w:val="32"/>
        </w:rPr>
        <w:t>基本职能：</w:t>
      </w:r>
      <w:r>
        <w:rPr>
          <w:rFonts w:hint="eastAsia" w:ascii="宋体" w:hAnsi="宋体" w:cs="宋体"/>
          <w:color w:val="000000"/>
          <w:kern w:val="0"/>
          <w:szCs w:val="32"/>
        </w:rPr>
        <w:t>承担中央级救灾物资储备管理及自治区本级救灾物资的采购、储备、调运等事务性工作；负责防汛抗旱物资仓储管理和代管中央防汛抗旱物资贵港仓库；协助救灾物资储备管理工作；协助救灾物资储备库建设、管理工作。</w:t>
      </w:r>
    </w:p>
    <w:p>
      <w:pPr>
        <w:spacing w:line="600" w:lineRule="exact"/>
        <w:ind w:firstLine="643" w:firstLineChars="200"/>
        <w:rPr>
          <w:rFonts w:hint="eastAsia" w:ascii="宋体" w:hAnsi="宋体" w:cs="宋体"/>
          <w:b/>
          <w:color w:val="000000"/>
          <w:kern w:val="0"/>
          <w:szCs w:val="32"/>
        </w:rPr>
      </w:pPr>
    </w:p>
    <w:p>
      <w:pPr>
        <w:spacing w:line="600" w:lineRule="exact"/>
        <w:ind w:firstLine="643" w:firstLineChars="200"/>
        <w:rPr>
          <w:rFonts w:ascii="宋体" w:hAnsi="宋体" w:cs="宋体"/>
          <w:b/>
          <w:color w:val="000000"/>
          <w:kern w:val="0"/>
          <w:szCs w:val="32"/>
        </w:rPr>
      </w:pPr>
    </w:p>
    <w:p>
      <w:pPr>
        <w:tabs>
          <w:tab w:val="center" w:pos="4475"/>
        </w:tabs>
        <w:spacing w:line="600" w:lineRule="exact"/>
        <w:jc w:val="center"/>
        <w:rPr>
          <w:rFonts w:hint="eastAsia" w:ascii="黑体" w:hAnsi="Times New Roman" w:eastAsia="黑体" w:cs="Times New Roman"/>
          <w:szCs w:val="32"/>
        </w:rPr>
      </w:pPr>
      <w:r>
        <w:rPr>
          <w:rFonts w:hint="eastAsia" w:ascii="黑体" w:hAnsi="Times New Roman" w:eastAsia="黑体" w:cs="Times New Roman"/>
          <w:szCs w:val="32"/>
        </w:rPr>
        <w:t>第二部分：</w:t>
      </w:r>
      <w:r>
        <w:rPr>
          <w:rFonts w:hint="eastAsia" w:ascii="黑体" w:hAnsi="宋体" w:eastAsia="黑体" w:cs="Times New Roman"/>
          <w:szCs w:val="32"/>
        </w:rPr>
        <w:t>自治区粮食和物资储备局2024年</w:t>
      </w:r>
      <w:r>
        <w:rPr>
          <w:rFonts w:hint="eastAsia" w:ascii="黑体" w:hAnsi="Times New Roman" w:eastAsia="黑体" w:cs="Times New Roman"/>
          <w:szCs w:val="32"/>
        </w:rPr>
        <w:t>部门预算情况说明</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一、部门收支总体情况说明</w:t>
      </w:r>
    </w:p>
    <w:p>
      <w:pPr>
        <w:spacing w:line="580" w:lineRule="exact"/>
        <w:ind w:firstLine="627" w:firstLineChars="196"/>
        <w:rPr>
          <w:rFonts w:hint="eastAsia" w:ascii="黑体" w:hAnsi="Times New Roman" w:eastAsia="黑体" w:cs="Times New Roman"/>
          <w:szCs w:val="32"/>
        </w:rPr>
      </w:pPr>
      <w:r>
        <w:rPr>
          <w:rFonts w:hint="eastAsia" w:ascii="仿宋_GB2312" w:hAnsi="仿宋_GB2312" w:cs="仿宋_GB2312"/>
          <w:color w:val="000000"/>
          <w:kern w:val="0"/>
          <w:szCs w:val="32"/>
        </w:rPr>
        <w:t>2024年我部门总收入60142.68万元，总支出60142.68万元（不含财政拨款上年未列支结算收支数）。总收入较上年增加3672万元，增长6.5%，主要原因是直属两所学院一般公共预算教育资金收入增加。总支出较上年增加3672万元，增长6.5%，主要原因是直属两所学院一般公共预算教育资金支出增加。</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二、部门收入总体情况说明</w:t>
      </w:r>
    </w:p>
    <w:p>
      <w:pPr>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2024年我部门总收入60142.68万元，较上年增加3672万元，增长6.5%，收入增加的原因主要是直属两所学院一般公共预算教育资金收入增加。其中：</w:t>
      </w:r>
    </w:p>
    <w:p>
      <w:pPr>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1.一般公共预算拨款36025.38万元，较上年增加2352.85万元，增长6.99%，主要是直属两所学院教育资金增加。</w:t>
      </w:r>
    </w:p>
    <w:p>
      <w:pPr>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2.政府性基金预算拨款为0，与上年一致。</w:t>
      </w:r>
    </w:p>
    <w:p>
      <w:pPr>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3.国有资本经营预算拨款为0，与上年一致。</w:t>
      </w:r>
    </w:p>
    <w:p>
      <w:pPr>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4.财政专户管理资金收入22595.27万元，较上年增加1286.78万元，增长6.04%。全部为教育收费收入安排的资金。主要原因为两所学院招生规模扩大，教育收费收入增加。</w:t>
      </w:r>
    </w:p>
    <w:p>
      <w:pPr>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5.事业收入1393.43万元，较上年增加224.56万元，增长19.21%，主要是自治区粮油质量检验中心检验费收入增加。</w:t>
      </w:r>
    </w:p>
    <w:p>
      <w:pPr>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6.其他收入128.6万元，较上年减少192.19万元，下降59.91%，主要是广西工商技师学院职业技能培训服务收费减少。</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三、部门支出总体情况说明</w:t>
      </w:r>
    </w:p>
    <w:p>
      <w:pPr>
        <w:spacing w:line="580" w:lineRule="exact"/>
        <w:ind w:firstLine="627" w:firstLineChars="196"/>
        <w:rPr>
          <w:rFonts w:hint="eastAsia" w:ascii="黑体" w:hAnsi="Times New Roman" w:eastAsia="黑体" w:cs="Times New Roman"/>
          <w:szCs w:val="32"/>
        </w:rPr>
      </w:pPr>
      <w:r>
        <w:rPr>
          <w:rFonts w:hint="eastAsia" w:ascii="仿宋_GB2312" w:hAnsi="仿宋_GB2312" w:cs="仿宋_GB2312"/>
          <w:color w:val="000000"/>
          <w:kern w:val="0"/>
          <w:szCs w:val="32"/>
        </w:rPr>
        <w:t>2024年我部门总支出60142.68万元，较上年增加3672万元，增长6.5%，主要原因是直属两所学院一般公共预算教育资金支出增加。</w:t>
      </w:r>
    </w:p>
    <w:p>
      <w:pPr>
        <w:autoSpaceDE w:val="0"/>
        <w:autoSpaceDN w:val="0"/>
        <w:adjustRightInd w:val="0"/>
        <w:spacing w:line="600" w:lineRule="exact"/>
        <w:ind w:firstLine="640" w:firstLineChars="200"/>
        <w:rPr>
          <w:rFonts w:ascii="楷体" w:hAnsi="楷体" w:eastAsia="楷体" w:cs="宋体"/>
          <w:color w:val="000000"/>
          <w:kern w:val="0"/>
          <w:szCs w:val="32"/>
        </w:rPr>
      </w:pPr>
      <w:r>
        <w:rPr>
          <w:rFonts w:hint="eastAsia" w:ascii="楷体" w:hAnsi="楷体" w:eastAsia="楷体" w:cs="宋体"/>
          <w:color w:val="000000"/>
          <w:kern w:val="0"/>
          <w:szCs w:val="32"/>
        </w:rPr>
        <w:t>（一）按支出功能分类科目划分，共分为 5类。</w:t>
      </w:r>
    </w:p>
    <w:p>
      <w:pPr>
        <w:autoSpaceDE w:val="0"/>
        <w:autoSpaceDN w:val="0"/>
        <w:adjustRightInd w:val="0"/>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1.教育支出</w:t>
      </w:r>
      <w:r>
        <w:rPr>
          <w:rFonts w:hint="eastAsia" w:ascii="仿宋_GB2312" w:hAnsi="宋体" w:cs="Times New Roman"/>
          <w:color w:val="000000"/>
          <w:szCs w:val="32"/>
        </w:rPr>
        <w:t>47940.34</w:t>
      </w:r>
      <w:r>
        <w:rPr>
          <w:rFonts w:hint="eastAsia" w:ascii="仿宋_GB2312" w:hAnsi="仿宋_GB2312" w:cs="仿宋_GB2312"/>
          <w:color w:val="000000"/>
          <w:kern w:val="0"/>
          <w:szCs w:val="32"/>
        </w:rPr>
        <w:t>万元，占本年支出预算79.71%，</w:t>
      </w:r>
      <w:r>
        <w:rPr>
          <w:rFonts w:hint="eastAsia" w:ascii="仿宋_GB2312" w:hAnsi="宋体" w:cs="Times New Roman"/>
          <w:color w:val="000000"/>
          <w:szCs w:val="32"/>
        </w:rPr>
        <w:t>同比增加4172.37万元，增长9.53%。主要原因是直属两所学院教育资金增加。</w:t>
      </w:r>
    </w:p>
    <w:p>
      <w:pPr>
        <w:autoSpaceDE w:val="0"/>
        <w:autoSpaceDN w:val="0"/>
        <w:adjustRightInd w:val="0"/>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2.社会保障和就业支出</w:t>
      </w:r>
      <w:r>
        <w:rPr>
          <w:rFonts w:hint="eastAsia" w:ascii="仿宋_GB2312" w:hAnsi="宋体" w:cs="Times New Roman"/>
          <w:color w:val="000000"/>
          <w:szCs w:val="32"/>
        </w:rPr>
        <w:t>1152.79万元，占本年支出预算1.92%，同比增加36.78万元，增长3.3%。</w:t>
      </w:r>
    </w:p>
    <w:p>
      <w:pPr>
        <w:autoSpaceDE w:val="0"/>
        <w:autoSpaceDN w:val="0"/>
        <w:adjustRightInd w:val="0"/>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3.卫生健康支出</w:t>
      </w:r>
      <w:r>
        <w:rPr>
          <w:rFonts w:hint="eastAsia" w:ascii="仿宋_GB2312" w:hAnsi="宋体" w:cs="Times New Roman"/>
          <w:color w:val="000000"/>
          <w:szCs w:val="32"/>
        </w:rPr>
        <w:t>298.48万元，占本年支出预算0.49%，同比增加6.7万元，增长2.3%</w:t>
      </w:r>
      <w:r>
        <w:rPr>
          <w:rFonts w:hint="eastAsia" w:ascii="仿宋_GB2312" w:hAnsi="仿宋_GB2312" w:cs="仿宋_GB2312"/>
          <w:color w:val="000000"/>
          <w:kern w:val="0"/>
          <w:szCs w:val="32"/>
        </w:rPr>
        <w:t>。</w:t>
      </w:r>
    </w:p>
    <w:p>
      <w:pPr>
        <w:autoSpaceDE w:val="0"/>
        <w:autoSpaceDN w:val="0"/>
        <w:adjustRightInd w:val="0"/>
        <w:spacing w:line="60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4.住房保障支出</w:t>
      </w:r>
      <w:r>
        <w:rPr>
          <w:rFonts w:hint="eastAsia" w:ascii="仿宋_GB2312" w:hAnsi="宋体" w:cs="Times New Roman"/>
          <w:color w:val="000000"/>
          <w:szCs w:val="32"/>
        </w:rPr>
        <w:t>468.82万元，占本年支出预算0.79%，同比增加10.78万元，增长2.35%。</w:t>
      </w:r>
    </w:p>
    <w:p>
      <w:pPr>
        <w:pStyle w:val="3"/>
        <w:adjustRightInd w:val="0"/>
        <w:snapToGrid w:val="0"/>
        <w:spacing w:line="540" w:lineRule="exact"/>
        <w:ind w:firstLine="660"/>
        <w:rPr>
          <w:rFonts w:hint="eastAsia" w:ascii="仿宋_GB2312" w:hAnsi="仿宋_GB2312" w:cs="仿宋_GB2312"/>
          <w:color w:val="000000"/>
          <w:kern w:val="0"/>
          <w:szCs w:val="32"/>
        </w:rPr>
      </w:pPr>
      <w:r>
        <w:rPr>
          <w:rFonts w:hint="eastAsia" w:ascii="仿宋_GB2312" w:hAnsi="仿宋_GB2312" w:cs="仿宋_GB2312"/>
          <w:color w:val="000000"/>
          <w:kern w:val="0"/>
          <w:szCs w:val="32"/>
        </w:rPr>
        <w:t>5.粮油物资储备支出</w:t>
      </w:r>
      <w:r>
        <w:rPr>
          <w:rFonts w:hint="eastAsia" w:ascii="仿宋_GB2312" w:hAnsi="宋体"/>
          <w:color w:val="000000"/>
          <w:szCs w:val="32"/>
        </w:rPr>
        <w:t>10282.26万元，占本年支出预算17.09%，同比减少554.63万元，下降5.12%。主要原因是为厉行节约，落实过紧日子要求，压缩经费，进一步优化支出结构。</w:t>
      </w:r>
    </w:p>
    <w:p>
      <w:pPr>
        <w:autoSpaceDE w:val="0"/>
        <w:autoSpaceDN w:val="0"/>
        <w:adjustRightInd w:val="0"/>
        <w:spacing w:line="600" w:lineRule="exact"/>
        <w:ind w:firstLine="640" w:firstLineChars="200"/>
        <w:rPr>
          <w:rFonts w:ascii="楷体" w:hAnsi="楷体" w:eastAsia="楷体" w:cs="宋体"/>
          <w:color w:val="000000"/>
          <w:kern w:val="0"/>
          <w:szCs w:val="32"/>
        </w:rPr>
      </w:pPr>
      <w:r>
        <w:rPr>
          <w:rFonts w:hint="eastAsia" w:ascii="楷体" w:hAnsi="楷体" w:eastAsia="楷体" w:cs="宋体"/>
          <w:color w:val="000000"/>
          <w:kern w:val="0"/>
          <w:szCs w:val="32"/>
        </w:rPr>
        <w:t>（二）按支出结构分类划分，分为基本支出和项目支出预算。</w:t>
      </w:r>
    </w:p>
    <w:p>
      <w:pPr>
        <w:autoSpaceDE w:val="0"/>
        <w:autoSpaceDN w:val="0"/>
        <w:adjustRightInd w:val="0"/>
        <w:spacing w:line="63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1.基本支出预算。</w:t>
      </w:r>
    </w:p>
    <w:p>
      <w:pPr>
        <w:pStyle w:val="3"/>
        <w:adjustRightInd w:val="0"/>
        <w:snapToGrid w:val="0"/>
        <w:spacing w:line="540" w:lineRule="exact"/>
        <w:ind w:firstLine="660"/>
        <w:rPr>
          <w:rFonts w:hint="eastAsia" w:ascii="仿宋_GB2312" w:hAnsi="宋体"/>
          <w:color w:val="000000"/>
          <w:szCs w:val="32"/>
        </w:rPr>
      </w:pPr>
      <w:r>
        <w:rPr>
          <w:rFonts w:hint="eastAsia" w:ascii="仿宋_GB2312" w:hAnsi="宋体"/>
          <w:color w:val="000000"/>
          <w:szCs w:val="32"/>
        </w:rPr>
        <w:t>基本支出预算27587.35万元，占本年支出预算45.87%，同比增加12287.5万元，增长80.31%。其中：</w:t>
      </w:r>
    </w:p>
    <w:p>
      <w:pPr>
        <w:pStyle w:val="3"/>
        <w:adjustRightInd w:val="0"/>
        <w:snapToGrid w:val="0"/>
        <w:spacing w:line="540" w:lineRule="exact"/>
        <w:ind w:firstLine="660"/>
        <w:rPr>
          <w:rFonts w:hint="eastAsia" w:ascii="仿宋_GB2312" w:hAnsi="宋体"/>
          <w:color w:val="000000"/>
          <w:szCs w:val="32"/>
        </w:rPr>
      </w:pPr>
      <w:r>
        <w:rPr>
          <w:rFonts w:hint="eastAsia" w:ascii="仿宋_GB2312" w:hAnsi="宋体"/>
          <w:color w:val="000000"/>
          <w:szCs w:val="32"/>
        </w:rPr>
        <w:t>人员经费预算21236.17万元，占基本支出预算76.98%，同比增加9134.75万元，增长75.48%。其中：工资福利支出预算20263.11万元，占基本支出预算73.45%，同比增加8965.73万元，增长79.36%；对个人和家庭的补助预算973.06万元，占基本支出预算3.53%，同比增加169.02万元，增长21.02%。</w:t>
      </w:r>
    </w:p>
    <w:p>
      <w:pPr>
        <w:pStyle w:val="3"/>
        <w:adjustRightInd w:val="0"/>
        <w:snapToGrid w:val="0"/>
        <w:spacing w:line="540" w:lineRule="exact"/>
        <w:ind w:firstLine="660"/>
        <w:rPr>
          <w:rFonts w:hint="eastAsia" w:ascii="仿宋_GB2312" w:hAnsi="宋体"/>
          <w:color w:val="000000"/>
          <w:szCs w:val="32"/>
        </w:rPr>
      </w:pPr>
      <w:r>
        <w:rPr>
          <w:rFonts w:hint="eastAsia" w:ascii="仿宋_GB2312" w:hAnsi="宋体"/>
          <w:color w:val="000000"/>
          <w:szCs w:val="32"/>
        </w:rPr>
        <w:t>公用经费（商品和服务支出）预算6351.18万元，占基本支出预算23.02%，同比增加3152.75万元，增长98.57%。</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基本支出增加的原因主要是根据财政要求将原编入项目支出的聘用人员工资社保等经费编入基本支出。</w:t>
      </w:r>
    </w:p>
    <w:p>
      <w:pPr>
        <w:autoSpaceDE w:val="0"/>
        <w:autoSpaceDN w:val="0"/>
        <w:adjustRightInd w:val="0"/>
        <w:spacing w:line="63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2.项目支出预算。</w:t>
      </w:r>
    </w:p>
    <w:p>
      <w:pPr>
        <w:pStyle w:val="3"/>
        <w:adjustRightInd w:val="0"/>
        <w:snapToGrid w:val="0"/>
        <w:spacing w:line="540" w:lineRule="exact"/>
        <w:ind w:firstLine="660"/>
        <w:rPr>
          <w:rFonts w:hint="eastAsia" w:ascii="仿宋_GB2312" w:hAnsi="宋体"/>
          <w:color w:val="000000"/>
          <w:szCs w:val="32"/>
        </w:rPr>
      </w:pPr>
      <w:r>
        <w:rPr>
          <w:rFonts w:hint="eastAsia" w:ascii="仿宋_GB2312" w:hAnsi="宋体"/>
          <w:color w:val="000000"/>
          <w:szCs w:val="32"/>
        </w:rPr>
        <w:t>项目支出预算32555.34万元，占本年支出预算54.13%，同比减少13957.84万元，下降30%。</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项目支出减少的原因主要是根据财政要求将原编入项目支出的聘用人员工资社保等经费编入基本支出。</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四、财政拨款收支总体情况说明</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2024年我部门财政拨款总收入36025.38万元，总支出36025.38万元（不含财政拨款上年未列支结算收支数）。财政拨款总收入较上年增加2352.85万元，增长6.99%，主要原因直属两所学院教育资金收入增加。财政拨款总支出较上年增加2352.85万元，增长6.99%，主要原因直属两所学院教育资金支出增加。</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包括：</w:t>
      </w:r>
      <w:r>
        <w:rPr>
          <w:rFonts w:hint="eastAsia" w:ascii="仿宋_GB2312" w:hAnsi="仿宋_GB2312" w:cs="仿宋_GB2312"/>
          <w:color w:val="000000"/>
          <w:kern w:val="0"/>
          <w:szCs w:val="32"/>
        </w:rPr>
        <w:t>教育支出</w:t>
      </w:r>
      <w:r>
        <w:rPr>
          <w:rFonts w:hint="eastAsia" w:ascii="仿宋_GB2312" w:hAnsi="宋体" w:cs="Times New Roman"/>
          <w:color w:val="000000"/>
          <w:szCs w:val="32"/>
        </w:rPr>
        <w:t>25463.45</w:t>
      </w:r>
      <w:r>
        <w:rPr>
          <w:rFonts w:hint="eastAsia" w:ascii="仿宋_GB2312" w:hAnsi="仿宋_GB2312" w:cs="仿宋_GB2312"/>
          <w:color w:val="000000"/>
          <w:kern w:val="0"/>
          <w:szCs w:val="32"/>
        </w:rPr>
        <w:t>万元，社会保障和就业支出</w:t>
      </w:r>
      <w:r>
        <w:rPr>
          <w:rFonts w:hint="eastAsia" w:ascii="仿宋_GB2312" w:hAnsi="宋体" w:cs="Times New Roman"/>
          <w:color w:val="000000"/>
          <w:szCs w:val="32"/>
        </w:rPr>
        <w:t>899.95万元，</w:t>
      </w:r>
      <w:r>
        <w:rPr>
          <w:rFonts w:hint="eastAsia" w:ascii="仿宋_GB2312" w:hAnsi="仿宋_GB2312" w:cs="仿宋_GB2312"/>
          <w:color w:val="000000"/>
          <w:kern w:val="0"/>
          <w:szCs w:val="32"/>
        </w:rPr>
        <w:t>卫生健康支出</w:t>
      </w:r>
      <w:r>
        <w:rPr>
          <w:rFonts w:hint="eastAsia" w:ascii="仿宋_GB2312" w:hAnsi="宋体" w:cs="Times New Roman"/>
          <w:color w:val="000000"/>
          <w:szCs w:val="32"/>
        </w:rPr>
        <w:t>293.9万元，</w:t>
      </w:r>
      <w:r>
        <w:rPr>
          <w:rFonts w:hint="eastAsia" w:ascii="仿宋_GB2312" w:hAnsi="仿宋_GB2312" w:cs="仿宋_GB2312"/>
          <w:color w:val="000000"/>
          <w:kern w:val="0"/>
          <w:szCs w:val="32"/>
        </w:rPr>
        <w:t>住房保障支出</w:t>
      </w:r>
      <w:r>
        <w:rPr>
          <w:rFonts w:hint="eastAsia" w:ascii="仿宋_GB2312" w:hAnsi="宋体" w:cs="Times New Roman"/>
          <w:color w:val="000000"/>
          <w:szCs w:val="32"/>
        </w:rPr>
        <w:t>468.82万元，</w:t>
      </w:r>
      <w:r>
        <w:rPr>
          <w:rFonts w:hint="eastAsia" w:ascii="仿宋_GB2312" w:hAnsi="仿宋_GB2312" w:cs="仿宋_GB2312"/>
          <w:color w:val="000000"/>
          <w:kern w:val="0"/>
          <w:szCs w:val="32"/>
        </w:rPr>
        <w:t>粮油物资储备支出</w:t>
      </w:r>
      <w:r>
        <w:rPr>
          <w:rFonts w:hint="eastAsia" w:ascii="仿宋_GB2312" w:hAnsi="宋体" w:cs="Times New Roman"/>
          <w:color w:val="000000"/>
          <w:szCs w:val="32"/>
        </w:rPr>
        <w:t>8899.26万元。</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五、一般公共预算支出情况说明</w:t>
      </w:r>
    </w:p>
    <w:p>
      <w:pPr>
        <w:spacing w:line="62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2024年我部门一般公共预算支出</w:t>
      </w:r>
      <w:r>
        <w:rPr>
          <w:rFonts w:hint="eastAsia" w:ascii="仿宋_GB2312" w:hAnsi="宋体" w:cs="宋体"/>
          <w:color w:val="000000"/>
          <w:kern w:val="0"/>
          <w:szCs w:val="32"/>
        </w:rPr>
        <w:t>36025.38万元</w:t>
      </w:r>
      <w:r>
        <w:rPr>
          <w:rFonts w:hint="eastAsia" w:ascii="仿宋_GB2312" w:hAnsi="仿宋_GB2312" w:cs="仿宋_GB2312"/>
          <w:color w:val="000000"/>
          <w:kern w:val="0"/>
          <w:szCs w:val="32"/>
        </w:rPr>
        <w:t>，</w:t>
      </w:r>
      <w:r>
        <w:rPr>
          <w:rFonts w:hint="eastAsia" w:ascii="仿宋_GB2312" w:hAnsi="宋体" w:cs="宋体"/>
          <w:color w:val="000000"/>
          <w:kern w:val="0"/>
          <w:szCs w:val="32"/>
        </w:rPr>
        <w:t>较上年增加2352.85万元，增长6.99%，</w:t>
      </w:r>
      <w:r>
        <w:rPr>
          <w:rFonts w:hint="eastAsia" w:ascii="仿宋_GB2312" w:hAnsi="仿宋_GB2312" w:cs="仿宋_GB2312"/>
          <w:color w:val="000000"/>
          <w:kern w:val="0"/>
          <w:szCs w:val="32"/>
        </w:rPr>
        <w:t>主要原因是直属两所学院教育资金支出增加。中央提前下达2024年一般公共预算转移支付资金安排的支出5922.02万元。按功能分类细分，具体情况为：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1.2050305高等职业教育</w:t>
      </w:r>
      <w:r>
        <w:rPr>
          <w:rFonts w:ascii="仿宋_GB2312" w:hAnsi="仿宋_GB2312" w:cs="仿宋_GB2312"/>
          <w:szCs w:val="32"/>
        </w:rPr>
        <w:t>20268.62</w:t>
      </w:r>
      <w:r>
        <w:rPr>
          <w:rFonts w:hint="eastAsia" w:ascii="仿宋_GB2312" w:hAnsi="仿宋_GB2312" w:cs="仿宋_GB2312"/>
          <w:szCs w:val="32"/>
        </w:rPr>
        <w:t>万元。其中基本支出预算6788.68万元，项目支出预算13479.94万元。为广西工商职业技术学院国家和自治区教育补助资金。</w:t>
      </w:r>
    </w:p>
    <w:p>
      <w:pPr>
        <w:autoSpaceDE w:val="0"/>
        <w:autoSpaceDN w:val="0"/>
        <w:adjustRightInd w:val="0"/>
        <w:spacing w:line="620" w:lineRule="exact"/>
        <w:ind w:firstLine="640" w:firstLineChars="200"/>
        <w:rPr>
          <w:rFonts w:hint="eastAsia" w:ascii="仿宋_GB2312" w:hAnsi="仿宋_GB2312" w:cs="仿宋_GB2312"/>
          <w:szCs w:val="32"/>
        </w:rPr>
      </w:pPr>
      <w:r>
        <w:rPr>
          <w:rFonts w:hint="eastAsia" w:ascii="仿宋_GB2312" w:hAnsi="仿宋_GB2312" w:cs="仿宋_GB2312"/>
          <w:szCs w:val="32"/>
        </w:rPr>
        <w:t>2.2050302中等职业教育367.04万元。全部是项目支出预算。为广西工商技师学院国家和自治区教育补助资金。</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3.2050303技校教育4827.79万元。其中基本支出预算2899.32万元，项目支出预算1928.47万元。为广西工商技师学院国家和自治区教育补助资金。</w:t>
      </w:r>
    </w:p>
    <w:p>
      <w:pPr>
        <w:autoSpaceDE w:val="0"/>
        <w:autoSpaceDN w:val="0"/>
        <w:adjustRightInd w:val="0"/>
        <w:spacing w:line="620" w:lineRule="exact"/>
        <w:ind w:firstLine="640" w:firstLineChars="200"/>
        <w:rPr>
          <w:rFonts w:hint="eastAsia" w:ascii="仿宋_GB2312" w:hAnsi="仿宋_GB2312" w:cs="仿宋_GB2312"/>
          <w:szCs w:val="32"/>
        </w:rPr>
      </w:pPr>
      <w:r>
        <w:rPr>
          <w:rFonts w:hint="eastAsia" w:ascii="仿宋_GB2312" w:hAnsi="仿宋_GB2312" w:cs="仿宋_GB2312"/>
          <w:szCs w:val="32"/>
        </w:rPr>
        <w:t>4.2080501行政单位离退休146.57万元。全部是基本支出预算。为局本级和自治区军粮供应中心离退休人员及离退休公用经费支出。</w:t>
      </w:r>
    </w:p>
    <w:p>
      <w:pPr>
        <w:autoSpaceDE w:val="0"/>
        <w:autoSpaceDN w:val="0"/>
        <w:adjustRightInd w:val="0"/>
        <w:spacing w:line="620" w:lineRule="exact"/>
        <w:ind w:firstLine="640" w:firstLineChars="200"/>
        <w:rPr>
          <w:rFonts w:hint="eastAsia" w:ascii="仿宋_GB2312" w:hAnsi="仿宋_GB2312" w:cs="仿宋_GB2312"/>
          <w:szCs w:val="32"/>
        </w:rPr>
      </w:pPr>
      <w:r>
        <w:rPr>
          <w:rFonts w:hint="eastAsia" w:ascii="仿宋_GB2312" w:hAnsi="仿宋_GB2312" w:cs="仿宋_GB2312"/>
          <w:szCs w:val="32"/>
        </w:rPr>
        <w:t>5.2080502事业单位离退休10.83万元。全部是基本支出预算。为自治区粮油质量检验中心和广西工商技师学院离退休人员及离退休公用经费支出。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6.2080505机关事业单位基本养老保险缴费支出625.1万元。全部是基本支出预算。为局本级及直属事业单位在职职工的单位养老保险费用。</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7.2080506机关事业单位职业年金缴费支出117.45万元。全部是基本支出预算。为局本级及直属事业单位在职职工单位职业年金费用。</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8.2101101行政单位医疗72.25万元。全部是基本支出预算。为局本级根据自治区统一规定，按行政单位在职职工工资总额的规定比例计缴的医疗保险经费。</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9.2101102事业单位医疗221.65万元。全部是基本支出预算。为局直属事业单位根据自治区统一规定，按事业单位在职职工工资总额的规定比例计缴的医疗保险经费。</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10.2210201住房公积金468.82万元。全部是基本支出预算。为局本级和直属事业单位按照国家统一规定，按在职职工工资总额的规定比例计缴的住房公积金。</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11.2220101行政运行1366.07万元。全部是基本支出预算。</w:t>
      </w:r>
      <w:r>
        <w:rPr>
          <w:rFonts w:hint="eastAsia" w:ascii="仿宋_GB2312" w:hAnsi="仿宋_GB2312" w:cs="仿宋_GB2312"/>
          <w:color w:val="000000"/>
          <w:shd w:val="clear" w:color="auto" w:fill="FFFFFF"/>
        </w:rPr>
        <w:t>为局机关及自治区军粮供应中心为保证日常运转发生的基本支出，如根据国家规定的基本工资和津补贴标准等安排的人员经费支出、按自治区统一规定的开支标准安排的办公费、印刷费、水电费、培训费、差旅费、会议费等日常公用经费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12.2220102一般行政管理事务668.14万元。全部是项目支出预算。为局机关为完成各项工作任务、保障粮食和物资储备事业发展而发生的项目支出。如办公设备购置、机关网络运维、粮食政策法规宣传教育、粮食安全责任制考核、机关行业文化建设等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13.2220103机关服务283.63万元。其中基本支出预算173.53万元，项目支出预算110.10万元。为局机关服务中心预算支出。</w:t>
      </w:r>
      <w:r>
        <w:rPr>
          <w:rFonts w:hint="eastAsia" w:ascii="仿宋_GB2312" w:hAnsi="仿宋_GB2312" w:cs="仿宋_GB2312"/>
          <w:color w:val="000000"/>
          <w:shd w:val="clear" w:color="auto" w:fill="FFFFFF"/>
        </w:rPr>
        <w:t>主要是用于为确保机关正常运行提供后勤服务的相关支出。</w:t>
      </w:r>
      <w:r>
        <w:rPr>
          <w:rFonts w:hint="eastAsia" w:ascii="仿宋_GB2312" w:hAnsi="仿宋_GB2312" w:cs="仿宋_GB2312"/>
          <w:szCs w:val="32"/>
        </w:rPr>
        <w:t>包括根据国家规定的基本工资和津补贴标准等安排的人员经费支出和日常公用经费支出，以及后勤服务和各项维保支出。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14.2220104财务和审计支出33.98万元。全部是项目支出预算。为局机关根据工作计划开展的财务审计业务支出。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15.2220106专项业务活动1652.48万元。全部是项目支出预算。为局机关和自治区军粮供应中心用于粮食和物资储备业务方面的支出。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16.2220118粮油市场调控专项资金198.61万元。全部是项目支出预算。为局机关用于粮油市场调控业务方面的支出。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17.2220150事业运行473.41万元。其中基本支出预算389.18万元，项目支出预算84.23万元。为局机关服务中心、自治区粮油质量检验中心、自治区救灾物资储备中心为保证日常运转发生的支出。如根据国家规定的基本工资和津补贴标准等安排的人员经费支出、按自治区统一规定的开支标准安排的办公费、印刷费、水电费、培训费、差旅费、会议费等日常公用经费支出。项目支出为自治区粮油质量检验中心质检经费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18.2220199其他粮油物资事务支出535.54万元。全部是项目支出预算。为自治区救灾物资储备中心应急救灾物资储备管理等日常工作经费。</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19.2220403储备粮（油）库建设1763万元。全部是项目支出预算。为我区直属储备粮（油）库建设维修项目补助资金。</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20.2220499其他粮油储备支出110万元。全部是项目支出预算。为自治区军粮供应中心军民融合项目建设支出。</w:t>
      </w:r>
    </w:p>
    <w:p>
      <w:pPr>
        <w:spacing w:line="580" w:lineRule="exact"/>
        <w:ind w:firstLine="627" w:firstLineChars="196"/>
        <w:rPr>
          <w:rFonts w:hint="eastAsia" w:ascii="仿宋_GB2312" w:hAnsi="仿宋_GB2312" w:cs="仿宋_GB2312"/>
          <w:szCs w:val="32"/>
        </w:rPr>
      </w:pPr>
      <w:r>
        <w:rPr>
          <w:rFonts w:hint="eastAsia" w:ascii="仿宋_GB2312" w:hAnsi="仿宋_GB2312" w:cs="仿宋_GB2312"/>
          <w:szCs w:val="32"/>
        </w:rPr>
        <w:t>21.2220503肉类储备1814.4万元。全部是项目支出预算。为我局根据国家和自治区相关政策和标准储备有关肉类的储备费用支出。</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六、一般公共预算基本支出情况说明</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仿宋_GB2312" w:cs="仿宋_GB2312"/>
          <w:color w:val="000000"/>
          <w:kern w:val="0"/>
          <w:szCs w:val="32"/>
        </w:rPr>
        <w:t>2024年我部门一般公共预算基本支出预算13279.45万元，较上年增加371.78万元，增长2.88%。主要原因为</w:t>
      </w:r>
      <w:r>
        <w:rPr>
          <w:rFonts w:hint="eastAsia" w:ascii="仿宋_GB2312" w:hAnsi="宋体" w:cs="宋体"/>
          <w:color w:val="000000"/>
          <w:kern w:val="0"/>
          <w:szCs w:val="32"/>
        </w:rPr>
        <w:t>直属两所学院人员经费等基本支出增加。具体情况为：</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30101基本工资2849.31万元。全部为人员经费。为局机关及直属事业单位人员基本工资。</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30102津贴补贴478.63万元。全部为人员费用。为局机关及直属事业单位人员津贴补贴。</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30103奖金296.45万元。全部为人员费用。为局机关及直属事业单位人员奖金。</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30107绩效工资2742.41万元。全部为人员费用。为局直属事业单位人员绩效工资。</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30108机关事业单位基本养老保险缴费1039.5万元。全部为人员费用。为局机关及直属事业单位根据规定计缴的基本养老保险费用。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30109职业年金缴费117.45万元。全部为人员费用。为局机关及直属事业单位根据规定计缴的职业年金费用。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30110职工基本医疗保险缴费485.56万元。全部为人员费用。为局机关及直属事业单位根据规定计缴的职工基本医疗保险费用。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30112其他社会保障缴费40.6万元。全部为人员费用。为局机关及直属事业单位根据规定计缴的工伤、失业等保险费用。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30113住房公积金779.62万元。全部为人员费用。为局机关及直属事业单位根据规定计缴职工住房公积金。</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30199其他工资福利支出578.14万元。全部为人员费用。为局直属事业单位编外人员工资费用。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30201办公费105.78万元。全部为公用经费。为局机关及直属事业单位日常办公费用。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30202印刷费26.33万元。全部为公用经费。为局机关及直属事业单位日常印刷费用。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30203咨询费0.3万元。全部为公用经费。为直属事业单位咨询费用。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30204手续费0.5万元。全部为公用经费。为直属事业单位日常手续费用。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30205水费172.47万元。全部为公用经费。为局机关及直属事业单位日常办公用水费用。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30206电费490.83万元。全部为公用经费。为局机关及直属事业单位日常办公用电费用。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30207邮电费103.09万元。全部为公用经费。为局机关及直属事业单位日常办公电话费用。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30211差旅费151.09万元。全部为公用经费。为局机关及直属事业单位日常差旅费用。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30213维修（护）费522.13万元。全部为公用经费。为局机关及直属事业单位日常维修维护费用。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30214租赁费544万元。全部为公用经费。为局直属两所学院租赁校区及学生宿舍楼费用。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30215会议费10.19万元。全部为公用经费。为局机关及直属事业单位会议费用。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30216培训费3.08万元。全部为公用经费。为局机关及直属事业单位培训费用。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30217公务接待费4.2万元。全部为公用经费。为局机关及直属事业单位公务接待费用。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30226劳务费405.28万元。全部为公用经费。为局机关及直属事业单位劳务费用。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30228工会经费78.14万元。全部为公用经费。为局机关及直属事业单位工会费用。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30229福利费7.92万元。全部为公用经费。为局机关及直属事业单位职工福利费用。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30231公务用车运行维护费35.83万元。全部为公用经费。为局机关及直属事业单位公务用车加油、年检、维修、保险等费用。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30239其他交通费用280.52万元。全部为公用经费。为局机关及直属事业单位公务租车费用。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30299其他商品和服务支出。全部为公用经费。为局机关及直属事业单位食堂运转费用。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30301离休费72.98万元。全部为人员经费。为局机关离休人员费用。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30302退休费148.94万元。全部为人员经费。为局机关及直属事业单位退休人员各种补助费用。</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30308助学金195.29万元。全部为人员经费。为局直属两所学院学生助学金。</w:t>
      </w:r>
    </w:p>
    <w:p>
      <w:pPr>
        <w:autoSpaceDE w:val="0"/>
        <w:autoSpaceDN w:val="0"/>
        <w:adjustRightInd w:val="0"/>
        <w:spacing w:line="63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30399其他对个人和家庭的补助192.78万元。全部为人员经费。为局机关及直属事业单位人员体检、困难补助等费用。</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七、一般公共预算“三公”经费支出情况说明</w:t>
      </w:r>
    </w:p>
    <w:p>
      <w:pPr>
        <w:tabs>
          <w:tab w:val="center" w:pos="4475"/>
        </w:tabs>
        <w:spacing w:line="600" w:lineRule="exact"/>
        <w:ind w:firstLine="645"/>
        <w:rPr>
          <w:rFonts w:hint="eastAsia" w:ascii="仿宋_GB2312" w:hAnsi="宋体" w:cs="Times New Roman"/>
          <w:szCs w:val="32"/>
        </w:rPr>
      </w:pPr>
      <w:r>
        <w:rPr>
          <w:rFonts w:hint="eastAsia" w:ascii="仿宋_GB2312" w:hAnsi="Times New Roman" w:cs="Times New Roman"/>
        </w:rPr>
        <w:t>我部门2024年一般公共预算</w:t>
      </w:r>
      <w:r>
        <w:rPr>
          <w:rFonts w:hint="eastAsia" w:ascii="仿宋_GB2312" w:hAnsi="Times New Roman" w:cs="Times New Roman"/>
          <w:bCs/>
        </w:rPr>
        <w:t>安排的“三公”经费支出预算108.65万元，同口径比2023年增加60.75万元，增长126.84%，具体如下：</w:t>
      </w:r>
    </w:p>
    <w:p>
      <w:pPr>
        <w:tabs>
          <w:tab w:val="center" w:pos="4475"/>
        </w:tabs>
        <w:spacing w:line="600" w:lineRule="exact"/>
        <w:ind w:firstLine="645"/>
        <w:rPr>
          <w:rFonts w:hint="eastAsia" w:ascii="仿宋_GB2312" w:hAnsi="Arial" w:cs="Arial"/>
          <w:kern w:val="0"/>
        </w:rPr>
      </w:pPr>
      <w:r>
        <w:rPr>
          <w:rFonts w:hint="eastAsia" w:ascii="仿宋_GB2312" w:hAnsi="Times New Roman" w:cs="Times New Roman"/>
        </w:rPr>
        <w:t>1.因公出国（境）费</w:t>
      </w:r>
      <w:r>
        <w:rPr>
          <w:rFonts w:hint="eastAsia" w:ascii="仿宋_GB2312" w:hAnsi="宋体" w:cs="Times New Roman"/>
          <w:szCs w:val="32"/>
        </w:rPr>
        <w:t>2024年预算安排15万元，比上年增加15万元，</w:t>
      </w:r>
      <w:r>
        <w:rPr>
          <w:rFonts w:hint="eastAsia" w:ascii="仿宋_GB2312" w:hAnsi="宋体" w:cs="Times New Roman"/>
          <w:color w:val="000000"/>
          <w:szCs w:val="32"/>
        </w:rPr>
        <w:t>上年度为0。增长的主要原因为疫情过后，根据有关计划，安排我局领导参加</w:t>
      </w:r>
      <w:r>
        <w:rPr>
          <w:rFonts w:hint="eastAsia" w:ascii="仿宋_GB2312" w:hAnsi="宋体" w:cs="宋体"/>
          <w:color w:val="000000"/>
          <w:szCs w:val="32"/>
        </w:rPr>
        <w:t>自治区政府和国家粮食和物资储备局组团的国外考察，经费预算15万元。</w:t>
      </w:r>
    </w:p>
    <w:p>
      <w:pPr>
        <w:spacing w:line="600" w:lineRule="exact"/>
        <w:ind w:firstLine="640" w:firstLineChars="200"/>
        <w:rPr>
          <w:rFonts w:hint="eastAsia" w:ascii="仿宋_GB2312" w:hAnsi="Arial" w:cs="Arial"/>
          <w:kern w:val="0"/>
        </w:rPr>
      </w:pPr>
      <w:r>
        <w:rPr>
          <w:rFonts w:hint="eastAsia" w:ascii="仿宋_GB2312" w:hAnsi="Times New Roman" w:cs="Times New Roman"/>
        </w:rPr>
        <w:t>2.公务接待费</w:t>
      </w:r>
      <w:r>
        <w:rPr>
          <w:rFonts w:hint="eastAsia" w:ascii="仿宋_GB2312" w:hAnsi="宋体" w:cs="Times New Roman"/>
          <w:szCs w:val="32"/>
        </w:rPr>
        <w:t>2024年预算安排7.82万元，比上年减少1.39万元，下降15.06%。</w:t>
      </w:r>
      <w:r>
        <w:rPr>
          <w:rFonts w:hint="eastAsia" w:ascii="仿宋_GB2312" w:hAnsi="Arial" w:cs="Arial"/>
          <w:kern w:val="0"/>
        </w:rPr>
        <w:t>减少的主要原因是</w:t>
      </w:r>
      <w:r>
        <w:rPr>
          <w:rFonts w:hint="eastAsia" w:ascii="仿宋_GB2312" w:hAnsi="宋体" w:cs="Times New Roman"/>
          <w:color w:val="000000"/>
          <w:szCs w:val="32"/>
        </w:rPr>
        <w:t>局本级及直属事业单位厉行节约，压缩开支。</w:t>
      </w:r>
    </w:p>
    <w:p>
      <w:pPr>
        <w:spacing w:line="580" w:lineRule="exact"/>
        <w:ind w:firstLine="627" w:firstLineChars="196"/>
        <w:rPr>
          <w:rFonts w:hint="eastAsia" w:ascii="仿宋_GB2312" w:hAnsi="宋体" w:cs="Times New Roman"/>
          <w:color w:val="000000"/>
          <w:szCs w:val="32"/>
        </w:rPr>
      </w:pPr>
      <w:r>
        <w:rPr>
          <w:rFonts w:hint="eastAsia" w:ascii="仿宋_GB2312" w:hAnsi="Times New Roman" w:cs="Times New Roman"/>
        </w:rPr>
        <w:t>3.公务用车购置费2024年预算安排50万元，比上年增加50万元，</w:t>
      </w:r>
      <w:r>
        <w:rPr>
          <w:rFonts w:hint="eastAsia" w:ascii="仿宋_GB2312" w:hAnsi="宋体" w:cs="Times New Roman"/>
          <w:color w:val="000000"/>
          <w:szCs w:val="32"/>
        </w:rPr>
        <w:t>上年度为0。增长的主要原因为2024年新增采购2辆公务用车（局本级和区救灾物资储备中心各一辆）。</w:t>
      </w:r>
    </w:p>
    <w:p>
      <w:pPr>
        <w:spacing w:line="600" w:lineRule="exact"/>
        <w:ind w:firstLine="640" w:firstLineChars="200"/>
        <w:rPr>
          <w:rFonts w:hint="eastAsia" w:ascii="仿宋_GB2312" w:hAnsi="Arial" w:cs="Arial"/>
          <w:kern w:val="0"/>
        </w:rPr>
      </w:pPr>
      <w:r>
        <w:rPr>
          <w:rFonts w:hint="eastAsia" w:ascii="仿宋_GB2312" w:hAnsi="宋体" w:cs="Times New Roman"/>
          <w:color w:val="000000"/>
          <w:szCs w:val="32"/>
        </w:rPr>
        <w:t>4.公务用车</w:t>
      </w:r>
      <w:r>
        <w:rPr>
          <w:rFonts w:hint="eastAsia" w:ascii="仿宋_GB2312" w:hAnsi="Times New Roman" w:cs="Times New Roman"/>
        </w:rPr>
        <w:t>及运行费</w:t>
      </w:r>
      <w:r>
        <w:rPr>
          <w:rFonts w:hint="eastAsia" w:ascii="仿宋_GB2312" w:hAnsi="宋体" w:cs="Times New Roman"/>
          <w:szCs w:val="32"/>
        </w:rPr>
        <w:t>2024年预算安排35.83万元，比去年减少2.86万元，下降7.4%。减少的主要原因是</w:t>
      </w:r>
      <w:r>
        <w:rPr>
          <w:rFonts w:hint="eastAsia" w:ascii="仿宋_GB2312" w:hAnsi="宋体" w:cs="Times New Roman"/>
          <w:color w:val="000000"/>
          <w:szCs w:val="32"/>
        </w:rPr>
        <w:t>局本级及直属事业单位厉行节约，压缩开支。</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八、政府性基金预算支出情况说明</w:t>
      </w:r>
    </w:p>
    <w:p>
      <w:pPr>
        <w:tabs>
          <w:tab w:val="right" w:leader="middleDot" w:pos="9030"/>
        </w:tabs>
        <w:autoSpaceDE w:val="0"/>
        <w:autoSpaceDN w:val="0"/>
        <w:adjustRightInd w:val="0"/>
        <w:spacing w:line="630" w:lineRule="exact"/>
        <w:ind w:firstLine="640" w:firstLineChars="200"/>
        <w:rPr>
          <w:rFonts w:ascii="宋体" w:hAnsi="宋体" w:cs="Times New Roman"/>
          <w:color w:val="000000"/>
          <w:kern w:val="0"/>
          <w:szCs w:val="32"/>
        </w:rPr>
      </w:pPr>
      <w:r>
        <w:rPr>
          <w:rFonts w:hint="eastAsia" w:ascii="仿宋_GB2312" w:hAnsi="仿宋_GB2312" w:cs="仿宋_GB2312"/>
          <w:color w:val="000000"/>
          <w:kern w:val="0"/>
          <w:szCs w:val="32"/>
        </w:rPr>
        <w:t>我部门2024年部门预算无政府性基金预算。</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九、国有资本经营预算支出情况说明</w:t>
      </w:r>
    </w:p>
    <w:p>
      <w:pPr>
        <w:tabs>
          <w:tab w:val="center" w:pos="4475"/>
        </w:tabs>
        <w:spacing w:line="600" w:lineRule="exact"/>
        <w:ind w:firstLine="645"/>
        <w:rPr>
          <w:rFonts w:hint="eastAsia" w:ascii="仿宋_GB2312" w:hAnsi="宋体" w:cs="Times New Roman"/>
          <w:szCs w:val="32"/>
        </w:rPr>
      </w:pPr>
      <w:r>
        <w:rPr>
          <w:rFonts w:hint="eastAsia" w:ascii="仿宋_GB2312" w:hAnsi="宋体" w:cs="Times New Roman"/>
          <w:szCs w:val="32"/>
        </w:rPr>
        <w:t>我部门2024年部门预算无国有资本经营预算。</w:t>
      </w:r>
    </w:p>
    <w:p>
      <w:pPr>
        <w:tabs>
          <w:tab w:val="center" w:pos="4475"/>
        </w:tabs>
        <w:spacing w:line="600" w:lineRule="exact"/>
        <w:ind w:firstLine="645"/>
        <w:rPr>
          <w:rFonts w:hint="eastAsia" w:ascii="黑体" w:hAnsi="Times New Roman" w:eastAsia="黑体" w:cs="Times New Roman"/>
          <w:szCs w:val="32"/>
        </w:rPr>
      </w:pPr>
      <w:r>
        <w:rPr>
          <w:rFonts w:hint="eastAsia" w:ascii="黑体" w:hAnsi="Times New Roman" w:eastAsia="黑体" w:cs="Times New Roman"/>
          <w:szCs w:val="32"/>
        </w:rPr>
        <w:t>十、其他重要事项情况说明</w:t>
      </w:r>
    </w:p>
    <w:p>
      <w:pPr>
        <w:tabs>
          <w:tab w:val="center" w:pos="4475"/>
        </w:tabs>
        <w:spacing w:line="600" w:lineRule="exact"/>
        <w:ind w:firstLine="645"/>
        <w:rPr>
          <w:rFonts w:hint="eastAsia" w:ascii="楷体" w:hAnsi="楷体" w:eastAsia="楷体" w:cs="Times New Roman"/>
          <w:szCs w:val="32"/>
        </w:rPr>
      </w:pPr>
      <w:r>
        <w:rPr>
          <w:rFonts w:hint="eastAsia" w:ascii="楷体" w:hAnsi="楷体" w:eastAsia="楷体" w:cs="Times New Roman"/>
          <w:szCs w:val="32"/>
        </w:rPr>
        <w:t>（一）机关运行经费安排情况说明</w:t>
      </w:r>
    </w:p>
    <w:p>
      <w:pPr>
        <w:tabs>
          <w:tab w:val="center" w:pos="4475"/>
        </w:tabs>
        <w:spacing w:line="600" w:lineRule="exact"/>
        <w:ind w:firstLine="645"/>
        <w:rPr>
          <w:rFonts w:hint="eastAsia" w:ascii="Arial" w:hAnsi="Arial" w:cs="Arial"/>
          <w:color w:val="000000"/>
          <w:shd w:val="clear" w:color="auto" w:fill="FFFFFF"/>
        </w:rPr>
      </w:pPr>
      <w:r>
        <w:rPr>
          <w:rFonts w:hint="eastAsia" w:ascii="仿宋_GB2312" w:hAnsi="Arial" w:cs="Arial"/>
          <w:color w:val="000000"/>
          <w:shd w:val="clear" w:color="auto" w:fill="FFFFFF"/>
        </w:rPr>
        <w:t>我局2024年机关运行经费预算294.77万元，全部是基本支出预算，同比减少3.04万元，下降1.02%。主要用于局本级、局机关服务中心及参公事业单位自治区军粮供应中心为保证日常</w:t>
      </w:r>
      <w:r>
        <w:rPr>
          <w:rFonts w:hint="eastAsia" w:ascii="Arial" w:hAnsi="Arial" w:cs="Arial"/>
          <w:color w:val="000000"/>
          <w:shd w:val="clear" w:color="auto" w:fill="FFFFFF"/>
        </w:rPr>
        <w:t>运行用于购买货物和服务的各项资金，包括办公</w:t>
      </w:r>
      <w:r>
        <w:rPr>
          <w:rFonts w:ascii="Arial" w:hAnsi="Arial" w:cs="Arial"/>
          <w:color w:val="000000"/>
          <w:shd w:val="clear" w:color="auto" w:fill="FFFFFF"/>
        </w:rPr>
        <w:t>费、印刷费、</w:t>
      </w:r>
      <w:r>
        <w:rPr>
          <w:rFonts w:hint="eastAsia" w:ascii="Arial" w:hAnsi="Arial" w:cs="Arial"/>
          <w:color w:val="000000"/>
          <w:shd w:val="clear" w:color="auto" w:fill="FFFFFF"/>
        </w:rPr>
        <w:t>邮电费、差旅费、会议费、福利费、日常维修费、办公用房</w:t>
      </w:r>
      <w:r>
        <w:rPr>
          <w:rFonts w:ascii="Arial" w:hAnsi="Arial" w:cs="Arial"/>
          <w:color w:val="000000"/>
          <w:shd w:val="clear" w:color="auto" w:fill="FFFFFF"/>
        </w:rPr>
        <w:t>水电费、</w:t>
      </w:r>
      <w:r>
        <w:rPr>
          <w:rFonts w:hint="eastAsia" w:ascii="Arial" w:hAnsi="Arial" w:cs="Arial"/>
          <w:color w:val="000000"/>
          <w:shd w:val="clear" w:color="auto" w:fill="FFFFFF"/>
        </w:rPr>
        <w:t>公务用车运行维护费</w:t>
      </w:r>
      <w:r>
        <w:rPr>
          <w:rFonts w:ascii="Arial" w:hAnsi="Arial" w:cs="Arial"/>
          <w:color w:val="000000"/>
          <w:shd w:val="clear" w:color="auto" w:fill="FFFFFF"/>
        </w:rPr>
        <w:t>等日常公用经费支出。</w:t>
      </w:r>
    </w:p>
    <w:p>
      <w:pPr>
        <w:tabs>
          <w:tab w:val="center" w:pos="4475"/>
        </w:tabs>
        <w:spacing w:line="600" w:lineRule="exact"/>
        <w:ind w:firstLine="645"/>
        <w:rPr>
          <w:rFonts w:hint="eastAsia" w:ascii="黑体" w:hAnsi="Times New Roman" w:eastAsia="黑体" w:cs="Times New Roman"/>
          <w:szCs w:val="32"/>
        </w:rPr>
      </w:pPr>
      <w:r>
        <w:rPr>
          <w:rFonts w:ascii="Arial" w:hAnsi="Arial" w:cs="Arial"/>
          <w:color w:val="000000"/>
          <w:shd w:val="clear" w:color="auto" w:fill="FFFFFF"/>
        </w:rPr>
        <w:t>机关运行经费预算</w:t>
      </w:r>
      <w:r>
        <w:rPr>
          <w:rFonts w:hint="eastAsia" w:ascii="Arial" w:hAnsi="Arial" w:cs="Arial"/>
          <w:color w:val="000000"/>
          <w:shd w:val="clear" w:color="auto" w:fill="FFFFFF"/>
        </w:rPr>
        <w:t>减少</w:t>
      </w:r>
      <w:r>
        <w:rPr>
          <w:rFonts w:ascii="Arial" w:hAnsi="Arial" w:cs="Arial"/>
          <w:color w:val="000000"/>
          <w:shd w:val="clear" w:color="auto" w:fill="FFFFFF"/>
        </w:rPr>
        <w:t>的主要原因是</w:t>
      </w:r>
      <w:r>
        <w:rPr>
          <w:rFonts w:hint="eastAsia" w:ascii="Arial" w:hAnsi="Arial" w:cs="Arial"/>
          <w:color w:val="000000"/>
          <w:shd w:val="clear" w:color="auto" w:fill="FFFFFF"/>
        </w:rPr>
        <w:t>厉行节约、压缩开支。</w:t>
      </w:r>
    </w:p>
    <w:p>
      <w:pPr>
        <w:tabs>
          <w:tab w:val="center" w:pos="4475"/>
        </w:tabs>
        <w:spacing w:line="600" w:lineRule="exact"/>
        <w:ind w:firstLine="645"/>
        <w:rPr>
          <w:rFonts w:hint="eastAsia" w:ascii="楷体" w:hAnsi="楷体" w:eastAsia="楷体" w:cs="Times New Roman"/>
          <w:szCs w:val="32"/>
        </w:rPr>
      </w:pPr>
      <w:r>
        <w:rPr>
          <w:rFonts w:hint="eastAsia" w:ascii="楷体" w:hAnsi="楷体" w:eastAsia="楷体" w:cs="Times New Roman"/>
          <w:szCs w:val="32"/>
        </w:rPr>
        <w:t>（二）政府采购预算安排情况说明</w:t>
      </w:r>
    </w:p>
    <w:p>
      <w:pPr>
        <w:spacing w:line="600" w:lineRule="exact"/>
        <w:ind w:firstLine="624" w:firstLineChars="200"/>
        <w:rPr>
          <w:rFonts w:hint="eastAsia" w:ascii="仿宋_GB2312" w:hAnsi="仿宋_GB2312" w:cs="仿宋_GB2312"/>
          <w:color w:val="000000"/>
          <w:spacing w:val="-4"/>
          <w:szCs w:val="32"/>
        </w:rPr>
      </w:pPr>
      <w:r>
        <w:rPr>
          <w:rFonts w:hint="eastAsia" w:ascii="仿宋_GB2312" w:hAnsi="仿宋_GB2312" w:cs="仿宋_GB2312"/>
          <w:color w:val="000000"/>
          <w:spacing w:val="-4"/>
          <w:szCs w:val="32"/>
        </w:rPr>
        <w:t>我部门2024年政府采购预算4168.84万元。其中：货物类采购2135.25万元、工程类采购592万元、服务类采购1441.59万元。具体情况如下：</w:t>
      </w:r>
    </w:p>
    <w:p>
      <w:pPr>
        <w:spacing w:line="600" w:lineRule="exact"/>
        <w:ind w:firstLine="640" w:firstLineChars="200"/>
        <w:rPr>
          <w:rFonts w:hint="eastAsia" w:ascii="仿宋_GB2312" w:hAnsi="仿宋_GB2312" w:cs="仿宋_GB2312"/>
          <w:color w:val="000000"/>
          <w:spacing w:val="-4"/>
          <w:szCs w:val="32"/>
        </w:rPr>
      </w:pPr>
      <w:r>
        <w:rPr>
          <w:rFonts w:hint="eastAsia" w:ascii="仿宋_GB2312" w:hAnsi="宋体" w:cs="Times New Roman"/>
          <w:color w:val="000000"/>
          <w:szCs w:val="32"/>
        </w:rPr>
        <w:t>2024年政府采购预算4168.84万元，同比减少8240.31万元，下降66.4%，主要原因是工商学院由于上年度承办全国技能大赛及新校区部分建设项目采购已完成，因此采购预算额较上年减少。</w:t>
      </w:r>
    </w:p>
    <w:p>
      <w:pPr>
        <w:spacing w:line="600" w:lineRule="exact"/>
        <w:ind w:firstLine="640" w:firstLineChars="200"/>
        <w:rPr>
          <w:rFonts w:hint="eastAsia" w:ascii="仿宋_GB2312" w:hAnsi="宋体" w:cs="Times New Roman"/>
          <w:color w:val="000000"/>
          <w:szCs w:val="32"/>
        </w:rPr>
      </w:pPr>
      <w:r>
        <w:rPr>
          <w:rFonts w:hint="eastAsia" w:ascii="仿宋_GB2312" w:hAnsi="宋体" w:cs="Times New Roman"/>
          <w:color w:val="000000"/>
          <w:szCs w:val="32"/>
        </w:rPr>
        <w:t>货物采购2135.25万元，占政府采购预算51.22%，同比增加93.94万元。增加的主要原因为增加办公设备采购。</w:t>
      </w:r>
    </w:p>
    <w:p>
      <w:pPr>
        <w:spacing w:line="600" w:lineRule="exact"/>
        <w:ind w:firstLine="640" w:firstLineChars="200"/>
        <w:rPr>
          <w:rFonts w:hint="eastAsia" w:ascii="仿宋_GB2312" w:hAnsi="宋体" w:cs="Times New Roman"/>
          <w:color w:val="000000"/>
          <w:szCs w:val="32"/>
        </w:rPr>
      </w:pPr>
      <w:r>
        <w:rPr>
          <w:rFonts w:hint="eastAsia" w:ascii="仿宋_GB2312" w:hAnsi="宋体" w:cs="Times New Roman"/>
          <w:color w:val="000000"/>
          <w:szCs w:val="32"/>
        </w:rPr>
        <w:t>工程采购592万元，占政府采购预算14.2%，同比减少1036万元。减少的主要原因为直属两所学院校园工程建设项目采购减少。</w:t>
      </w:r>
    </w:p>
    <w:p>
      <w:pPr>
        <w:spacing w:line="600" w:lineRule="exact"/>
        <w:ind w:firstLine="640" w:firstLineChars="200"/>
        <w:rPr>
          <w:rFonts w:hint="eastAsia" w:ascii="仿宋_GB2312" w:hAnsi="仿宋_GB2312" w:cs="仿宋_GB2312"/>
          <w:color w:val="000000"/>
          <w:spacing w:val="-4"/>
          <w:szCs w:val="32"/>
        </w:rPr>
      </w:pPr>
      <w:r>
        <w:rPr>
          <w:rFonts w:hint="eastAsia" w:ascii="仿宋_GB2312" w:hAnsi="宋体" w:cs="Times New Roman"/>
          <w:color w:val="000000"/>
          <w:szCs w:val="32"/>
        </w:rPr>
        <w:t>服务采购1441.59万元，占政府采购预算34.58%，同比减少1931.31万元。减少的主要原因为直属两所学院教育服务采购减少。</w:t>
      </w:r>
    </w:p>
    <w:p>
      <w:pPr>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政府采购资金类型：一般公共预算拨款6120.6万元、财政专户管理资金780万元、单位资金142.21万元。</w:t>
      </w:r>
    </w:p>
    <w:p>
      <w:pPr>
        <w:spacing w:line="600" w:lineRule="exact"/>
        <w:ind w:firstLine="640" w:firstLineChars="200"/>
        <w:rPr>
          <w:rFonts w:hint="eastAsia" w:ascii="仿宋_GB2312" w:hAnsi="仿宋_GB2312" w:cs="仿宋_GB2312"/>
          <w:color w:val="000000"/>
          <w:spacing w:val="-4"/>
          <w:szCs w:val="32"/>
        </w:rPr>
      </w:pPr>
      <w:r>
        <w:rPr>
          <w:rFonts w:hint="eastAsia" w:ascii="仿宋_GB2312" w:hAnsi="仿宋_GB2312" w:cs="仿宋_GB2312"/>
          <w:color w:val="000000"/>
          <w:szCs w:val="32"/>
        </w:rPr>
        <w:t>政府采购项目类型：</w:t>
      </w:r>
      <w:r>
        <w:rPr>
          <w:rFonts w:hint="eastAsia" w:ascii="仿宋_GB2312" w:hAnsi="宋体" w:cs="Times New Roman"/>
          <w:color w:val="000000"/>
          <w:szCs w:val="32"/>
        </w:rPr>
        <w:t>政府集中采购预算1102.92万元，占政府采购预算126.46%；分散采购预算3065.92万元，占政府采购预算82.66%。</w:t>
      </w:r>
    </w:p>
    <w:p>
      <w:pPr>
        <w:tabs>
          <w:tab w:val="center" w:pos="4475"/>
        </w:tabs>
        <w:spacing w:line="600" w:lineRule="exact"/>
        <w:ind w:firstLine="645"/>
        <w:rPr>
          <w:rFonts w:hint="eastAsia" w:ascii="楷体" w:hAnsi="楷体" w:eastAsia="楷体" w:cs="Times New Roman"/>
          <w:szCs w:val="32"/>
        </w:rPr>
      </w:pPr>
      <w:r>
        <w:rPr>
          <w:rFonts w:hint="eastAsia" w:ascii="楷体" w:hAnsi="楷体" w:eastAsia="楷体" w:cs="Times New Roman"/>
          <w:szCs w:val="32"/>
        </w:rPr>
        <w:t>（三）国有资产占用情况说明</w:t>
      </w:r>
    </w:p>
    <w:p>
      <w:pPr>
        <w:autoSpaceDE w:val="0"/>
        <w:autoSpaceDN w:val="0"/>
        <w:adjustRightInd w:val="0"/>
        <w:spacing w:line="600" w:lineRule="exact"/>
        <w:ind w:firstLine="643" w:firstLineChars="200"/>
        <w:rPr>
          <w:rFonts w:hint="eastAsia" w:ascii="仿宋_GB2312" w:hAnsi="宋体" w:cs="宋体"/>
          <w:b/>
          <w:color w:val="000000"/>
          <w:kern w:val="0"/>
          <w:szCs w:val="32"/>
        </w:rPr>
      </w:pPr>
      <w:r>
        <w:rPr>
          <w:rFonts w:hint="eastAsia" w:ascii="仿宋_GB2312" w:hAnsi="宋体" w:cs="宋体"/>
          <w:b/>
          <w:color w:val="000000"/>
          <w:kern w:val="0"/>
          <w:szCs w:val="32"/>
        </w:rPr>
        <w:t>1.办公用房情况</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（1）局本级办公用房面积5954.65平方米，资产原值714.64万元。</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（2）服务中心办公用房面积4612.2平方米，资产原值323.58万元。</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（3）质检中心行政办公用房面积114</w:t>
      </w:r>
      <w:r>
        <w:rPr>
          <w:rFonts w:hint="eastAsia" w:ascii="宋体" w:hAnsi="宋体" w:eastAsia="宋体" w:cs="宋体"/>
          <w:color w:val="000000"/>
          <w:kern w:val="0"/>
          <w:szCs w:val="32"/>
        </w:rPr>
        <w:t>㎡</w:t>
      </w:r>
      <w:r>
        <w:rPr>
          <w:rFonts w:hint="eastAsia" w:ascii="仿宋_GB2312" w:hAnsi="仿宋_GB2312" w:cs="仿宋_GB2312"/>
          <w:color w:val="000000"/>
          <w:kern w:val="0"/>
          <w:szCs w:val="32"/>
        </w:rPr>
        <w:t>、技术业务用房面积</w:t>
      </w:r>
      <w:r>
        <w:rPr>
          <w:rFonts w:hint="eastAsia" w:ascii="仿宋_GB2312" w:hAnsi="宋体" w:cs="宋体"/>
          <w:color w:val="000000"/>
          <w:kern w:val="0"/>
          <w:szCs w:val="32"/>
        </w:rPr>
        <w:t>1235</w:t>
      </w:r>
      <w:r>
        <w:rPr>
          <w:rFonts w:hint="eastAsia" w:ascii="宋体" w:hAnsi="宋体" w:eastAsia="宋体" w:cs="宋体"/>
          <w:color w:val="000000"/>
          <w:kern w:val="0"/>
          <w:szCs w:val="32"/>
        </w:rPr>
        <w:t>㎡</w:t>
      </w:r>
      <w:r>
        <w:rPr>
          <w:rFonts w:hint="eastAsia" w:ascii="仿宋_GB2312" w:hAnsi="仿宋_GB2312" w:cs="仿宋_GB2312"/>
          <w:color w:val="000000"/>
          <w:kern w:val="0"/>
          <w:szCs w:val="32"/>
        </w:rPr>
        <w:t>，资产原值均为</w:t>
      </w:r>
      <w:r>
        <w:rPr>
          <w:rFonts w:hint="eastAsia" w:ascii="仿宋_GB2312" w:hAnsi="宋体" w:cs="宋体"/>
          <w:color w:val="000000"/>
          <w:kern w:val="0"/>
          <w:szCs w:val="32"/>
        </w:rPr>
        <w:t>0，无产权，由广西壮族自治区南宁粮食储备库有限公司无偿提供场所使用。</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（4）军供中心无办公用房（无房产），与局本级在同一栋楼办公，由局本级提供办公场地。</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（5）工商学院办公用房面积44,482.98平方米，资产原值7,363.48万元</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（6）技师学院办公用房面积16,927.02平方米，资产原值4139.7万元。</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（7）储备中心房屋面积5762.02平方米，资产原值773.7万元，其中业务用房面积5660平方米，其他用房面积102.02平方米。</w:t>
      </w:r>
    </w:p>
    <w:p>
      <w:pPr>
        <w:autoSpaceDE w:val="0"/>
        <w:autoSpaceDN w:val="0"/>
        <w:adjustRightInd w:val="0"/>
        <w:spacing w:line="600" w:lineRule="exact"/>
        <w:ind w:firstLine="643" w:firstLineChars="200"/>
        <w:rPr>
          <w:rFonts w:hint="eastAsia" w:ascii="仿宋_GB2312" w:hAnsi="宋体" w:cs="宋体"/>
          <w:b/>
          <w:color w:val="000000"/>
          <w:kern w:val="0"/>
          <w:szCs w:val="32"/>
        </w:rPr>
      </w:pPr>
      <w:r>
        <w:rPr>
          <w:rFonts w:hint="eastAsia" w:ascii="仿宋_GB2312" w:hAnsi="宋体" w:cs="宋体"/>
          <w:b/>
          <w:color w:val="000000"/>
          <w:kern w:val="0"/>
          <w:szCs w:val="32"/>
        </w:rPr>
        <w:t>2.车辆情况</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我局机动车编制数35个，定编小汽车实有数16辆，其中领导工作用车1辆、一般公务用车5辆、轿车7辆、旅行越野车2辆、经济型车1辆。</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（1）局本级机动车编制数6个，定编小汽车实有数6辆，其中：领导工作用车1辆，一般公务用车5辆。</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（2）服务中心机动车编制数2个，定编小汽车实有数1辆，其中轿车（公务）1辆。</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（3）质检中心机动车编制数3个，定编小汽车实有数1辆，其中轿车（公务）1辆。</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（4）军供中心机动车编制数2个，无实有车辆。</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（5）工商学院机动车编制数13个，定编小汽车实有数3辆，其中轿车（公务）3辆。</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（6）技师学院机动车编制数6个，定编小汽车实有数2辆，其中轿车（公务）1辆，经济型车（公务）1辆。</w:t>
      </w:r>
    </w:p>
    <w:p>
      <w:pPr>
        <w:autoSpaceDE w:val="0"/>
        <w:autoSpaceDN w:val="0"/>
        <w:adjustRightIn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（7）储备中心机动车编制数3个，定编小汽车实有数3辆，其中轿车（公务）1辆、越野车2辆。</w:t>
      </w:r>
    </w:p>
    <w:p>
      <w:pPr>
        <w:tabs>
          <w:tab w:val="center" w:pos="4475"/>
        </w:tabs>
        <w:spacing w:line="600" w:lineRule="exact"/>
        <w:ind w:firstLine="645"/>
        <w:rPr>
          <w:rFonts w:hint="eastAsia" w:ascii="楷体" w:hAnsi="楷体" w:eastAsia="楷体" w:cs="Times New Roman"/>
          <w:szCs w:val="32"/>
        </w:rPr>
      </w:pPr>
      <w:r>
        <w:rPr>
          <w:rFonts w:hint="eastAsia" w:ascii="楷体" w:hAnsi="楷体" w:eastAsia="楷体" w:cs="Times New Roman"/>
          <w:szCs w:val="32"/>
        </w:rPr>
        <w:t>（四）预算绩效目标情况说明</w:t>
      </w:r>
    </w:p>
    <w:p>
      <w:pPr>
        <w:tabs>
          <w:tab w:val="center" w:pos="4475"/>
        </w:tabs>
        <w:spacing w:line="600" w:lineRule="exact"/>
        <w:ind w:firstLine="645"/>
        <w:rPr>
          <w:rFonts w:hint="eastAsia" w:ascii="仿宋_GB2312" w:hAnsi="Arial" w:cs="Arial"/>
          <w:color w:val="000000"/>
          <w:shd w:val="clear" w:color="auto" w:fill="FFFFFF"/>
        </w:rPr>
      </w:pPr>
      <w:r>
        <w:rPr>
          <w:rFonts w:hint="eastAsia" w:ascii="仿宋_GB2312" w:hAnsi="Arial" w:cs="Arial"/>
          <w:color w:val="000000"/>
          <w:shd w:val="clear" w:color="auto" w:fill="FFFFFF"/>
        </w:rPr>
        <w:t>1.我部门2024年部门预算所有项目支出全面实施绩效目标管理，涉及自治区本级项目98个，预算资金32555.34万元；对下转移支付项目2个，预算资金3532万元。绩效目标情况详见报表（日常运转类项目、工资类人员经费项目和涉密项目除外）。</w:t>
      </w:r>
    </w:p>
    <w:p>
      <w:pPr>
        <w:tabs>
          <w:tab w:val="center" w:pos="4475"/>
        </w:tabs>
        <w:spacing w:line="600" w:lineRule="exact"/>
        <w:ind w:firstLine="645"/>
        <w:rPr>
          <w:rFonts w:hint="eastAsia" w:ascii="仿宋_GB2312" w:hAnsi="Arial" w:cs="Arial"/>
          <w:color w:val="000000"/>
          <w:shd w:val="clear" w:color="auto" w:fill="FFFFFF"/>
        </w:rPr>
      </w:pPr>
      <w:r>
        <w:rPr>
          <w:rFonts w:hint="eastAsia" w:ascii="仿宋_GB2312" w:hAnsi="Arial" w:cs="Arial"/>
          <w:color w:val="000000"/>
          <w:shd w:val="clear" w:color="auto" w:fill="FFFFFF"/>
        </w:rPr>
        <w:t>2.重点项目预算绩效目标说明。</w:t>
      </w:r>
    </w:p>
    <w:p>
      <w:pPr>
        <w:tabs>
          <w:tab w:val="center" w:pos="4475"/>
        </w:tabs>
        <w:spacing w:line="600" w:lineRule="exact"/>
        <w:ind w:firstLine="645"/>
        <w:rPr>
          <w:rFonts w:hint="eastAsia" w:ascii="仿宋_GB2312" w:hAnsi="宋体" w:cs="Times New Roman"/>
          <w:color w:val="000000"/>
          <w:szCs w:val="32"/>
        </w:rPr>
      </w:pPr>
      <w:r>
        <w:rPr>
          <w:rFonts w:hint="eastAsia" w:ascii="仿宋_GB2312" w:hAnsi="Arial" w:cs="Arial"/>
          <w:color w:val="000000"/>
          <w:shd w:val="clear" w:color="auto" w:fill="FFFFFF"/>
        </w:rPr>
        <w:t>项目名称：</w:t>
      </w:r>
      <w:r>
        <w:rPr>
          <w:rFonts w:hint="eastAsia" w:ascii="仿宋_GB2312" w:hAnsi="宋体" w:cs="Times New Roman"/>
          <w:color w:val="000000"/>
          <w:szCs w:val="32"/>
        </w:rPr>
        <w:t>猪肉储备补贴资金。预算资金：1814.4万元。2024年绩效目标如下：</w:t>
      </w:r>
    </w:p>
    <w:p>
      <w:pPr>
        <w:spacing w:line="560" w:lineRule="exact"/>
        <w:ind w:firstLine="640" w:firstLineChars="200"/>
        <w:rPr>
          <w:rFonts w:hint="eastAsia" w:ascii="仿宋_GB2312" w:hAnsi="宋体" w:cs="宋体"/>
          <w:b/>
          <w:color w:val="000000"/>
          <w:szCs w:val="32"/>
        </w:rPr>
      </w:pPr>
      <w:r>
        <w:rPr>
          <w:rFonts w:hint="eastAsia" w:ascii="仿宋_GB2312" w:hAnsi="宋体" w:cs="Nimbus Roman No9 L"/>
          <w:color w:val="000000"/>
          <w:kern w:val="0"/>
          <w:szCs w:val="32"/>
        </w:rPr>
        <w:t>绩效目标：通过对承担自治区猪肉储备的相关企业给予补贴，确保2024年度落实自治区本级冻猪肉储备1200吨，生猪活体储备三轮每轮9.6万头，切实保障市场猪肉供应及价格稳定。</w:t>
      </w:r>
    </w:p>
    <w:p>
      <w:pPr>
        <w:spacing w:line="56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A.产出指标</w:t>
      </w:r>
    </w:p>
    <w:p>
      <w:pPr>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数量指标：年度落实</w:t>
      </w:r>
      <w:r>
        <w:rPr>
          <w:rFonts w:hint="eastAsia" w:ascii="仿宋_GB2312" w:hAnsi="宋体" w:cs="Nimbus Roman No9 L"/>
          <w:color w:val="000000"/>
          <w:kern w:val="0"/>
          <w:szCs w:val="32"/>
        </w:rPr>
        <w:t>冻猪肉储备1200吨，生猪活体储备三轮每轮9.6万头。</w:t>
      </w:r>
    </w:p>
    <w:p>
      <w:pPr>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质量指标：储备检查合格率</w:t>
      </w:r>
      <w:r>
        <w:rPr>
          <w:rFonts w:hint="eastAsia" w:ascii="仿宋_GB2312" w:hAnsi="东文宋体" w:cs="东文宋体"/>
          <w:color w:val="000000"/>
          <w:kern w:val="0"/>
          <w:szCs w:val="32"/>
        </w:rPr>
        <w:t>≥</w:t>
      </w:r>
      <w:r>
        <w:rPr>
          <w:rFonts w:hint="eastAsia" w:ascii="仿宋_GB2312" w:hAnsi="宋体" w:cs="宋体"/>
          <w:color w:val="000000"/>
          <w:kern w:val="0"/>
          <w:szCs w:val="32"/>
        </w:rPr>
        <w:t>95%</w:t>
      </w:r>
    </w:p>
    <w:p>
      <w:pPr>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时效指标：2024年12月31日前完成</w:t>
      </w:r>
    </w:p>
    <w:p>
      <w:pPr>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成本指标：冻猪肉储备定额补贴</w:t>
      </w:r>
      <w:r>
        <w:rPr>
          <w:rFonts w:hint="eastAsia" w:ascii="仿宋_GB2312" w:hAnsi="宋体" w:cs="Nimbus Roman No9 L"/>
          <w:color w:val="000000"/>
          <w:kern w:val="0"/>
          <w:szCs w:val="32"/>
        </w:rPr>
        <w:t>每吨每月补贴承储企业500元；生猪活体储备每轮每头补贴承储企业30元，补贴代管单位代管费用每轮每头8元。</w:t>
      </w:r>
    </w:p>
    <w:p>
      <w:pPr>
        <w:spacing w:line="56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B.效益指标</w:t>
      </w:r>
    </w:p>
    <w:p>
      <w:pPr>
        <w:spacing w:line="560" w:lineRule="exact"/>
        <w:ind w:firstLine="640"/>
        <w:rPr>
          <w:rFonts w:hint="eastAsia" w:ascii="仿宋_GB2312" w:hAnsi="宋体" w:cs="宋体"/>
          <w:color w:val="000000"/>
          <w:kern w:val="0"/>
          <w:szCs w:val="32"/>
        </w:rPr>
      </w:pPr>
      <w:r>
        <w:rPr>
          <w:rFonts w:hint="eastAsia" w:ascii="仿宋_GB2312" w:hAnsi="宋体" w:cs="宋体"/>
          <w:color w:val="000000"/>
          <w:kern w:val="0"/>
          <w:szCs w:val="32"/>
        </w:rPr>
        <w:t>社会效益：做好猪肉市场保供稳价，按政府指令完成储备动用，促进经济社会稳定发展。</w:t>
      </w:r>
    </w:p>
    <w:p>
      <w:pPr>
        <w:spacing w:line="56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C.满意度指标</w:t>
      </w:r>
    </w:p>
    <w:p>
      <w:pPr>
        <w:spacing w:line="560" w:lineRule="exact"/>
        <w:ind w:firstLine="640" w:firstLineChars="200"/>
        <w:rPr>
          <w:rFonts w:hint="eastAsia" w:ascii="仿宋_GB2312" w:hAnsi="宋体" w:cs="宋体"/>
          <w:color w:val="000000"/>
          <w:szCs w:val="32"/>
        </w:rPr>
      </w:pPr>
      <w:r>
        <w:rPr>
          <w:rFonts w:hint="eastAsia" w:ascii="仿宋_GB2312" w:hAnsi="宋体" w:cs="宋体"/>
          <w:color w:val="000000"/>
          <w:kern w:val="0"/>
          <w:szCs w:val="32"/>
        </w:rPr>
        <w:t>服务对象满意度：承储企业满意度</w:t>
      </w:r>
      <w:r>
        <w:rPr>
          <w:rFonts w:hint="eastAsia" w:ascii="仿宋_GB2312" w:hAnsi="东文宋体" w:cs="东文宋体"/>
          <w:color w:val="000000"/>
          <w:kern w:val="0"/>
          <w:szCs w:val="32"/>
        </w:rPr>
        <w:t>≥</w:t>
      </w:r>
      <w:r>
        <w:rPr>
          <w:rFonts w:hint="eastAsia" w:ascii="仿宋_GB2312" w:hAnsi="宋体" w:cs="宋体"/>
          <w:color w:val="000000"/>
          <w:kern w:val="0"/>
          <w:szCs w:val="32"/>
        </w:rPr>
        <w:t>90%</w:t>
      </w:r>
    </w:p>
    <w:p>
      <w:pPr>
        <w:tabs>
          <w:tab w:val="center" w:pos="4475"/>
        </w:tabs>
        <w:spacing w:line="600" w:lineRule="exact"/>
        <w:ind w:firstLine="645"/>
        <w:rPr>
          <w:rFonts w:hint="eastAsia" w:ascii="仿宋_GB2312" w:hAnsi="Arial" w:cs="Arial"/>
          <w:color w:val="000000"/>
          <w:shd w:val="clear" w:color="auto" w:fill="FFFFFF"/>
        </w:rPr>
      </w:pPr>
    </w:p>
    <w:p>
      <w:pPr>
        <w:tabs>
          <w:tab w:val="center" w:pos="4475"/>
        </w:tabs>
        <w:spacing w:line="600" w:lineRule="exact"/>
        <w:jc w:val="center"/>
        <w:rPr>
          <w:rFonts w:hint="eastAsia" w:ascii="黑体" w:hAnsi="Times New Roman" w:eastAsia="黑体" w:cs="Times New Roman"/>
          <w:szCs w:val="32"/>
        </w:rPr>
      </w:pPr>
      <w:r>
        <w:rPr>
          <w:rFonts w:hint="eastAsia" w:ascii="黑体" w:hAnsi="Times New Roman" w:eastAsia="黑体" w:cs="Times New Roman"/>
          <w:szCs w:val="32"/>
        </w:rPr>
        <w:t>第三部分：名词解释</w:t>
      </w:r>
    </w:p>
    <w:p>
      <w:pPr>
        <w:spacing w:line="580" w:lineRule="exact"/>
        <w:ind w:firstLine="630" w:firstLineChars="196"/>
        <w:rPr>
          <w:rFonts w:ascii="宋体" w:hAnsi="宋体" w:cs="Times New Roman"/>
          <w:szCs w:val="32"/>
        </w:rPr>
      </w:pPr>
      <w:r>
        <w:rPr>
          <w:rFonts w:hint="eastAsia" w:ascii="宋体" w:hAnsi="宋体" w:cs="Times New Roman"/>
          <w:b/>
          <w:szCs w:val="32"/>
        </w:rPr>
        <w:t>一、财政拨款收入</w:t>
      </w:r>
      <w:r>
        <w:rPr>
          <w:rFonts w:hint="eastAsia" w:ascii="宋体" w:hAnsi="宋体" w:cs="Times New Roman"/>
          <w:szCs w:val="32"/>
        </w:rPr>
        <w:t>：指自治区财政部门当年拨付的资金。</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二、事业收入</w:t>
      </w:r>
      <w:r>
        <w:rPr>
          <w:rFonts w:hint="eastAsia" w:ascii="宋体" w:hAnsi="宋体" w:cs="Times New Roman"/>
          <w:szCs w:val="32"/>
        </w:rPr>
        <w:t>：指事业单位开展专业业务活动及辅助活动所取得的收入。</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三、经营收入：</w:t>
      </w:r>
      <w:r>
        <w:rPr>
          <w:rFonts w:hint="eastAsia" w:ascii="宋体" w:hAnsi="宋体" w:cs="Times New Roman"/>
          <w:szCs w:val="32"/>
        </w:rPr>
        <w:t>指事业单位在专业业务活动及其辅助活动之外开展非独立核算经营活动取得的收入。</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四、其他收入</w:t>
      </w:r>
      <w:r>
        <w:rPr>
          <w:rFonts w:hint="eastAsia" w:ascii="宋体" w:hAnsi="宋体" w:cs="Times New Roman"/>
          <w:szCs w:val="32"/>
        </w:rPr>
        <w:t>：指除上述“财政拨款收入”“事业收入”“经营收入”等以外的收入。</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五、年初结转和结余</w:t>
      </w:r>
      <w:r>
        <w:rPr>
          <w:rFonts w:hint="eastAsia" w:ascii="宋体" w:hAnsi="宋体" w:cs="Times New Roman"/>
          <w:szCs w:val="32"/>
        </w:rPr>
        <w:t>：指以前年度尚未完成、结转到本年按有关规定继续使用的资金。</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六、年末结转和结余</w:t>
      </w:r>
      <w:r>
        <w:rPr>
          <w:rFonts w:hint="eastAsia" w:ascii="宋体" w:hAnsi="宋体" w:cs="Times New Roman"/>
          <w:szCs w:val="32"/>
        </w:rPr>
        <w:t>：指本年度或以前年度预算安排、因客观条件发生变化无法按原计划实施，需要延迟到以后年度按有关规定继续使用的资金。</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七、基本支出</w:t>
      </w:r>
      <w:r>
        <w:rPr>
          <w:rFonts w:hint="eastAsia" w:ascii="宋体" w:hAnsi="宋体" w:cs="Times New Roman"/>
          <w:szCs w:val="32"/>
        </w:rPr>
        <w:t>：指为保障机构正常运转、完成日常工作任务而发生的人员支出和公用支出。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八、项目支出</w:t>
      </w:r>
      <w:r>
        <w:rPr>
          <w:rFonts w:hint="eastAsia" w:ascii="宋体" w:hAnsi="宋体" w:cs="Times New Roman"/>
          <w:szCs w:val="32"/>
        </w:rPr>
        <w:t>：指在基本支出之外为完成特定行政任务和事业发展目标所发生的支出。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九、经营支出</w:t>
      </w:r>
      <w:r>
        <w:rPr>
          <w:rFonts w:hint="eastAsia" w:ascii="宋体" w:hAnsi="宋体" w:cs="Times New Roman"/>
          <w:szCs w:val="32"/>
        </w:rPr>
        <w:t>：指事业单位在专业业务活动及其辅助活动之外开展非独立核算经营活动发生的支出。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十、“三公”经费</w:t>
      </w:r>
      <w:r>
        <w:rPr>
          <w:rFonts w:hint="eastAsia" w:ascii="宋体" w:hAnsi="宋体" w:cs="Times New Roman"/>
          <w:szCs w:val="32"/>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十一、机关运行经费：</w:t>
      </w:r>
      <w:r>
        <w:rPr>
          <w:rFonts w:hint="eastAsia" w:ascii="宋体" w:hAnsi="宋体" w:cs="Times New Roman"/>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30" w:firstLineChars="196"/>
        <w:rPr>
          <w:rFonts w:hint="eastAsia" w:ascii="宋体" w:hAnsi="宋体" w:cs="Times New Roman"/>
          <w:b/>
          <w:szCs w:val="32"/>
        </w:rPr>
      </w:pPr>
      <w:r>
        <w:rPr>
          <w:rFonts w:hint="eastAsia" w:ascii="宋体" w:hAnsi="宋体" w:cs="Times New Roman"/>
          <w:b/>
          <w:szCs w:val="32"/>
        </w:rPr>
        <w:t>十二、粮油物资储备支出（类）粮油物资事务（款）行政运行（项）：</w:t>
      </w:r>
      <w:r>
        <w:rPr>
          <w:rFonts w:hint="eastAsia" w:ascii="宋体" w:hAnsi="宋体" w:cs="Times New Roman"/>
          <w:szCs w:val="32"/>
        </w:rPr>
        <w:t>指主要用于为保证机关日常运转发生的基本支出。如根据国家规定的基本工资和津补贴标准等安排的人员经费支出、按自治区统一规定的开支标准安排的办公费、印刷费、水电费、培训费、差旅费、会议费等日常公用经费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十三、粮油物资储备支出（类）粮油物资事务（款）一般行政管理事务（项）</w:t>
      </w:r>
      <w:r>
        <w:rPr>
          <w:rFonts w:hint="eastAsia" w:ascii="宋体" w:hAnsi="宋体" w:cs="Times New Roman"/>
          <w:szCs w:val="32"/>
        </w:rPr>
        <w:t>：指主要用于为完成各项工作任务、保障粮食和储备事业发展而发生的项目支出。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十四、粮油物资储备支出（类）粮油物资事务（款）机关服务（项）：</w:t>
      </w:r>
      <w:r>
        <w:rPr>
          <w:rFonts w:hint="eastAsia" w:ascii="宋体" w:hAnsi="宋体" w:cs="Times New Roman"/>
          <w:szCs w:val="32"/>
        </w:rPr>
        <w:t>指主要用于为行政单位提供后勤服务的后勤服务中心的事业单位相关支出。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十五、粮油物资储备支出（类）粮油物资事务（款）财务和审计支出（项）</w:t>
      </w:r>
      <w:r>
        <w:rPr>
          <w:rFonts w:hint="eastAsia" w:ascii="宋体" w:hAnsi="宋体" w:cs="Times New Roman"/>
          <w:szCs w:val="32"/>
        </w:rPr>
        <w:t>：主要是用于为管理粮食和储备而进行的财务和审计支出。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十六、粮油物资储备支出（类）粮油物资事务（款）专项业务活动（项）</w:t>
      </w:r>
      <w:r>
        <w:rPr>
          <w:rFonts w:hint="eastAsia" w:ascii="宋体" w:hAnsi="宋体" w:cs="Times New Roman"/>
          <w:szCs w:val="32"/>
        </w:rPr>
        <w:t>：主要是用于粮食专项业务方面的支出。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十七、粮油物资储备支出（类）粮油物资事务（款）粮油市场调控专项资金（项）</w:t>
      </w:r>
      <w:r>
        <w:rPr>
          <w:rFonts w:hint="eastAsia" w:ascii="宋体" w:hAnsi="宋体" w:cs="Times New Roman"/>
          <w:szCs w:val="32"/>
        </w:rPr>
        <w:t>：主要用于粮油市场调控业务方面的支出。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十八、粮油物资储备支出（类）粮油物资事务（款）事业运行（项）</w:t>
      </w:r>
      <w:r>
        <w:rPr>
          <w:rFonts w:hint="eastAsia" w:ascii="宋体" w:hAnsi="宋体" w:cs="Times New Roman"/>
          <w:szCs w:val="32"/>
        </w:rPr>
        <w:t>：主要用于事业单位为保证日常运转发生的支出。如根据国家规定的基本工资和津补贴标准等安排的人员经费支出、按自治区统一规定的开支标准安排的办公费、印刷费、水电费、培训费、差旅费、会议费等日常公用经费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十九、粮油物资储备支出（类）粮油物资事务（款）其他粮油物资事务支出（项）</w:t>
      </w:r>
      <w:r>
        <w:rPr>
          <w:rFonts w:hint="eastAsia" w:ascii="宋体" w:hAnsi="宋体" w:cs="Times New Roman"/>
          <w:szCs w:val="32"/>
        </w:rPr>
        <w:t>：主要用于其他关于粮油和物资事务方面的支出。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二十、粮油物资储备支出（类）粮油储备（款）储备粮（油）库建设（项）</w:t>
      </w:r>
      <w:r>
        <w:rPr>
          <w:rFonts w:hint="eastAsia" w:ascii="宋体" w:hAnsi="宋体" w:cs="Times New Roman"/>
          <w:szCs w:val="32"/>
        </w:rPr>
        <w:t>：主要用于粮油储备库建设维修支出。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二十一、粮油物资储备支出（类）重要商品储备（款）肉类储备（项）</w:t>
      </w:r>
      <w:r>
        <w:rPr>
          <w:rFonts w:hint="eastAsia" w:ascii="宋体" w:hAnsi="宋体" w:cs="Times New Roman"/>
          <w:szCs w:val="32"/>
        </w:rPr>
        <w:t>：主要用于猪肉等专项储备的有关支出。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二十二、社会保障和就业支出（类）行政事业单位养老支出（款）行政单位离退休（项）</w:t>
      </w:r>
      <w:r>
        <w:rPr>
          <w:rFonts w:hint="eastAsia" w:ascii="宋体" w:hAnsi="宋体" w:cs="Times New Roman"/>
          <w:szCs w:val="32"/>
        </w:rPr>
        <w:t>：主要用于我局机关的离退休人员经费支出。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二十三、社会保障和就业支出（类）行政事业单位养老支出（款）事业单位离退休（项）</w:t>
      </w:r>
      <w:r>
        <w:rPr>
          <w:rFonts w:hint="eastAsia" w:ascii="宋体" w:hAnsi="宋体" w:cs="Times New Roman"/>
          <w:szCs w:val="32"/>
        </w:rPr>
        <w:t>：主要用于局直属事业单位离退休人员经费支出。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二十四、社会保障和就业支出（类）行政事业单位养老支出（款）机关事业单位基本养老保险缴费支出（项）</w:t>
      </w:r>
      <w:r>
        <w:rPr>
          <w:rFonts w:hint="eastAsia" w:ascii="宋体" w:hAnsi="宋体" w:cs="Times New Roman"/>
          <w:szCs w:val="32"/>
        </w:rPr>
        <w:t>：主要用于支付行政及事业单位在职职工的单位养老保险费用。</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二十五、社会保障和就业支出（类）行政事业单位养老支出（款）机关事业单位职业年金缴费支出（项）</w:t>
      </w:r>
      <w:r>
        <w:rPr>
          <w:rFonts w:hint="eastAsia" w:ascii="宋体" w:hAnsi="宋体" w:cs="Times New Roman"/>
          <w:szCs w:val="32"/>
        </w:rPr>
        <w:t>：主要用于支付行政及事业单位在职职工单位职业年金费用。</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二十六、卫生健康支出（类）行政事业单位医疗（款）行政单位医疗（项）</w:t>
      </w:r>
      <w:r>
        <w:rPr>
          <w:rFonts w:hint="eastAsia" w:ascii="宋体" w:hAnsi="宋体" w:cs="Times New Roman"/>
          <w:szCs w:val="32"/>
        </w:rPr>
        <w:t>：主要是根据自治区统一规定，按行政机关在职职工工资总额的一定比例计缴的医疗保险。</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二十七、卫生健康支出（类）行政事业单位医疗（款）事业单位医疗（项）</w:t>
      </w:r>
      <w:r>
        <w:rPr>
          <w:rFonts w:hint="eastAsia" w:ascii="宋体" w:hAnsi="宋体" w:cs="Times New Roman"/>
          <w:szCs w:val="32"/>
        </w:rPr>
        <w:t>：主要是根据自治区统一规定，按事业单位在职职工工资总额的一定比例计缴的医疗保险。</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二十八、住房保障支出（类）住房改革支出（款）住房公积金(项)</w:t>
      </w:r>
      <w:r>
        <w:rPr>
          <w:rFonts w:hint="eastAsia" w:ascii="宋体" w:hAnsi="宋体" w:cs="Times New Roman"/>
          <w:szCs w:val="32"/>
        </w:rPr>
        <w:t>：主要是按照国家统一规定，为单位职工计缴的住房公积金。</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二十九、教育支出（类）职业教育（款）中等职业教育（项）：</w:t>
      </w:r>
      <w:r>
        <w:rPr>
          <w:rFonts w:hint="eastAsia" w:ascii="宋体" w:hAnsi="宋体" w:cs="Times New Roman"/>
          <w:szCs w:val="32"/>
        </w:rPr>
        <w:t>主要是局直属事业单位广西工商技师学院中等职业教育支出。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三十、教育支出（类）职业教育（款）技校教育（项）：</w:t>
      </w:r>
      <w:r>
        <w:rPr>
          <w:rFonts w:hint="eastAsia" w:ascii="宋体" w:hAnsi="宋体" w:cs="Times New Roman"/>
          <w:szCs w:val="32"/>
        </w:rPr>
        <w:t>主要是局直属事业单位广西工商技师学院技校教育支出。</w:t>
      </w:r>
    </w:p>
    <w:p>
      <w:pPr>
        <w:spacing w:line="580" w:lineRule="exact"/>
        <w:ind w:firstLine="630" w:firstLineChars="196"/>
        <w:rPr>
          <w:rFonts w:hint="eastAsia" w:ascii="宋体" w:hAnsi="宋体" w:cs="Times New Roman"/>
          <w:szCs w:val="32"/>
        </w:rPr>
      </w:pPr>
      <w:r>
        <w:rPr>
          <w:rFonts w:hint="eastAsia" w:ascii="宋体" w:hAnsi="宋体" w:cs="Times New Roman"/>
          <w:b/>
          <w:szCs w:val="32"/>
        </w:rPr>
        <w:t>三十一、教育支出（类）职业教育（款）高等职业教育（项）：</w:t>
      </w:r>
      <w:r>
        <w:rPr>
          <w:rFonts w:hint="eastAsia" w:ascii="宋体" w:hAnsi="宋体" w:cs="Times New Roman"/>
          <w:szCs w:val="32"/>
        </w:rPr>
        <w:t>主要是局直属事业单位广西工商职业技术学院高等职业教育支出。</w:t>
      </w:r>
    </w:p>
    <w:p>
      <w:pPr>
        <w:spacing w:line="580" w:lineRule="exact"/>
        <w:ind w:firstLine="627" w:firstLineChars="196"/>
        <w:rPr>
          <w:rFonts w:hint="eastAsia" w:ascii="宋体" w:hAnsi="宋体" w:cs="Times New Roman"/>
          <w:szCs w:val="32"/>
        </w:rPr>
      </w:pPr>
    </w:p>
    <w:p>
      <w:pPr>
        <w:tabs>
          <w:tab w:val="center" w:pos="4475"/>
        </w:tabs>
        <w:spacing w:line="600" w:lineRule="exact"/>
        <w:jc w:val="center"/>
        <w:rPr>
          <w:rFonts w:hint="eastAsia" w:ascii="黑体" w:hAnsi="Times New Roman" w:eastAsia="黑体" w:cs="Times New Roman"/>
          <w:szCs w:val="32"/>
        </w:rPr>
      </w:pPr>
      <w:r>
        <w:rPr>
          <w:rFonts w:hint="eastAsia" w:ascii="黑体" w:hAnsi="Times New Roman" w:eastAsia="黑体" w:cs="Times New Roman"/>
          <w:szCs w:val="32"/>
        </w:rPr>
        <w:t>第四部分：</w:t>
      </w:r>
      <w:r>
        <w:rPr>
          <w:rFonts w:hint="eastAsia" w:ascii="黑体" w:hAnsi="宋体" w:eastAsia="黑体" w:cs="Times New Roman"/>
          <w:szCs w:val="32"/>
        </w:rPr>
        <w:t>自治区粮食和物资储备局2024年</w:t>
      </w:r>
      <w:r>
        <w:rPr>
          <w:rFonts w:hint="eastAsia" w:ascii="黑体" w:hAnsi="Times New Roman" w:eastAsia="黑体" w:cs="Times New Roman"/>
          <w:szCs w:val="32"/>
        </w:rPr>
        <w:t>部门预算报表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一、部门收支总体情况表（预算公开01表）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二、部门收入总体情况表（预算公开02表）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三、部门支出总体情况表（预算公开03表）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四、财政拨款收支总体情况表（预算公开04表）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五、一般公共预算支出情况表（预算公开05表）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六、一般公共预算基本支出情况表（预算公开06表）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七、一般公共预算“三公”经费、会议费和培训费支出情况表（预算公开07表）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八、政府性基金预算支出情况表（预算公开08表）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九、国有资本经营预算支出情况表（预算公开09表）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十、预算项目绩效目标公开表（预算公开10表）</w:t>
      </w:r>
    </w:p>
    <w:p>
      <w:pPr>
        <w:pStyle w:val="5"/>
        <w:shd w:val="clear" w:color="auto" w:fill="FFFFFF"/>
        <w:spacing w:before="195" w:beforeAutospacing="0" w:after="195" w:afterAutospacing="0"/>
        <w:ind w:firstLine="640" w:firstLineChars="200"/>
        <w:rPr>
          <w:rFonts w:hint="eastAsia" w:ascii="仿宋_GB2312" w:eastAsia="仿宋_GB2312" w:cs="Times New Roman"/>
          <w:kern w:val="2"/>
          <w:sz w:val="32"/>
          <w:szCs w:val="32"/>
        </w:rPr>
      </w:pPr>
      <w:r>
        <w:rPr>
          <w:rFonts w:hint="eastAsia" w:ascii="仿宋_GB2312" w:eastAsia="仿宋_GB2312" w:cs="Times New Roman"/>
          <w:kern w:val="2"/>
          <w:sz w:val="32"/>
          <w:szCs w:val="32"/>
        </w:rPr>
        <w:t>十一、对下转移支付项目绩效目标公开表（预算公开11表）</w:t>
      </w:r>
    </w:p>
    <w:p>
      <w:pPr>
        <w:pStyle w:val="5"/>
        <w:shd w:val="clear" w:color="auto" w:fill="FFFFFF"/>
        <w:spacing w:before="195" w:beforeAutospacing="0" w:after="195" w:afterAutospacing="0"/>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以上表格详见附件。</w:t>
      </w:r>
    </w:p>
    <w:p/>
    <w:sectPr>
      <w:footerReference r:id="rId3" w:type="default"/>
      <w:footerReference r:id="rId4" w:type="even"/>
      <w:pgSz w:w="11906" w:h="16838"/>
      <w:pgMar w:top="1440" w:right="1440" w:bottom="1440" w:left="1440" w:header="851" w:footer="992" w:gutter="0"/>
      <w:pgNumType w:fmt="numberInDash"/>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Nimbus Roman No9 L">
    <w:altName w:val="方正公文小标宋"/>
    <w:panose1 w:val="00000000000000000000"/>
    <w:charset w:val="00"/>
    <w:family w:val="auto"/>
    <w:pitch w:val="default"/>
    <w:sig w:usb0="00000000" w:usb1="00000000" w:usb2="00000000"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imes New Roman" w:hAnsi="Times New Roman" w:eastAsia="宋体" w:cs="Times New Roman"/>
        <w:sz w:val="28"/>
      </w:rPr>
    </w:pPr>
    <w:r>
      <w:rPr>
        <w:rStyle w:val="8"/>
        <w:rFonts w:ascii="Times New Roman" w:hAnsi="Times New Roman" w:eastAsia="宋体" w:cs="Times New Roman"/>
        <w:sz w:val="28"/>
        <w:szCs w:val="24"/>
      </w:rPr>
      <w:fldChar w:fldCharType="begin"/>
    </w:r>
    <w:r>
      <w:rPr>
        <w:rStyle w:val="8"/>
        <w:rFonts w:ascii="Times New Roman" w:hAnsi="Times New Roman" w:eastAsia="宋体" w:cs="Times New Roman"/>
        <w:sz w:val="28"/>
        <w:szCs w:val="24"/>
      </w:rPr>
      <w:instrText xml:space="preserve">PAGE  </w:instrText>
    </w:r>
    <w:r>
      <w:rPr>
        <w:rStyle w:val="8"/>
        <w:rFonts w:ascii="Times New Roman" w:hAnsi="Times New Roman" w:eastAsia="宋体" w:cs="Times New Roman"/>
        <w:sz w:val="28"/>
        <w:szCs w:val="24"/>
      </w:rPr>
      <w:fldChar w:fldCharType="separate"/>
    </w:r>
    <w:r>
      <w:rPr>
        <w:rStyle w:val="8"/>
        <w:rFonts w:ascii="Times New Roman" w:hAnsi="Times New Roman" w:eastAsia="宋体" w:cs="Times New Roman"/>
        <w:sz w:val="28"/>
        <w:szCs w:val="24"/>
      </w:rPr>
      <w:t>- 22 -</w:t>
    </w:r>
    <w:r>
      <w:rPr>
        <w:rStyle w:val="8"/>
        <w:rFonts w:ascii="Times New Roman" w:hAnsi="Times New Roman" w:eastAsia="宋体" w:cs="Times New Roman"/>
        <w:sz w:val="28"/>
        <w:szCs w:val="24"/>
      </w:rPr>
      <w:fldChar w:fldCharType="end"/>
    </w:r>
  </w:p>
  <w:p>
    <w:pPr>
      <w:pStyle w:val="4"/>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imes New Roman" w:hAnsi="Times New Roman" w:cs="Times New Roman"/>
      </w:rPr>
    </w:pPr>
    <w:r>
      <w:rPr>
        <w:rStyle w:val="8"/>
        <w:rFonts w:ascii="Times New Roman" w:hAnsi="Times New Roman" w:cs="Times New Roman"/>
        <w:sz w:val="32"/>
        <w:szCs w:val="24"/>
      </w:rPr>
      <w:fldChar w:fldCharType="begin"/>
    </w:r>
    <w:r>
      <w:rPr>
        <w:rStyle w:val="8"/>
        <w:rFonts w:ascii="Times New Roman" w:hAnsi="Times New Roman" w:cs="Times New Roman"/>
        <w:sz w:val="32"/>
        <w:szCs w:val="24"/>
      </w:rPr>
      <w:instrText xml:space="preserve">PAGE  </w:instrText>
    </w:r>
    <w:r>
      <w:rPr>
        <w:rStyle w:val="8"/>
        <w:rFonts w:ascii="Times New Roman" w:hAnsi="Times New Roman" w:cs="Times New Roman"/>
        <w:sz w:val="32"/>
        <w:szCs w:val="24"/>
      </w:rPr>
      <w:fldChar w:fldCharType="end"/>
    </w:r>
  </w:p>
  <w:p>
    <w:pPr>
      <w:pStyle w:val="4"/>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5E841324"/>
    <w:rsid w:val="0D8559B7"/>
    <w:rsid w:val="5E841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Plain Text"/>
    <w:qFormat/>
    <w:uiPriority w:val="99"/>
    <w:pPr>
      <w:widowControl w:val="0"/>
      <w:jc w:val="both"/>
    </w:pPr>
    <w:rPr>
      <w:rFonts w:ascii="宋体" w:hAnsi="Courier New" w:eastAsia="仿宋_GB2312" w:cs="Courier New"/>
      <w:kern w:val="2"/>
      <w:sz w:val="32"/>
      <w:szCs w:val="21"/>
      <w:lang w:val="en-US" w:eastAsia="zh-CN" w:bidi="ar-SA"/>
    </w:rPr>
  </w:style>
  <w:style w:type="paragraph" w:styleId="4">
    <w:name w:val="footer"/>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styleId="5">
    <w:name w:val="Normal (Web)"/>
    <w:unhideWhenUsed/>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8">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2024-02-08T01:05:00Z</dcterms:created>
  <dc:creator>WPS_1601470598</dc:creator>
  <cp:lastModifiedBy>WPS_1601470598</cp:lastModifiedBy>
  <dcterms:modified xsi:type="dcterms:W3CDTF">2024-02-08T01:07:18Z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E59324DA0F8A4959A2A2AAA6981484D0_11</vt:lpwstr>
  </property>
</Properties>
</file>